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36" w:rsidRPr="0080033D" w:rsidRDefault="00551436" w:rsidP="00E86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033D">
        <w:rPr>
          <w:rFonts w:ascii="Times New Roman" w:eastAsia="Calibri" w:hAnsi="Times New Roman" w:cs="Times New Roman"/>
          <w:b/>
          <w:bCs/>
          <w:sz w:val="28"/>
          <w:szCs w:val="28"/>
        </w:rPr>
        <w:t>Аналитическая записка</w:t>
      </w:r>
    </w:p>
    <w:p w:rsidR="00551436" w:rsidRPr="0080033D" w:rsidRDefault="00551436" w:rsidP="00E86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033D">
        <w:rPr>
          <w:rFonts w:ascii="Times New Roman" w:eastAsia="Calibri" w:hAnsi="Times New Roman" w:cs="Times New Roman"/>
          <w:b/>
          <w:bCs/>
          <w:sz w:val="28"/>
          <w:szCs w:val="28"/>
        </w:rPr>
        <w:t>о состоянии и проблемах законотворчества</w:t>
      </w:r>
    </w:p>
    <w:p w:rsidR="00871792" w:rsidRPr="0080033D" w:rsidRDefault="00871792" w:rsidP="006E1C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24C8D" w:rsidRPr="0080033D" w:rsidRDefault="005F3E7B" w:rsidP="006E1C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0033D">
        <w:rPr>
          <w:rFonts w:ascii="Times New Roman" w:eastAsia="Calibri" w:hAnsi="Times New Roman" w:cs="Times New Roman"/>
          <w:bCs/>
          <w:sz w:val="28"/>
          <w:szCs w:val="28"/>
        </w:rPr>
        <w:t>№ 1</w:t>
      </w:r>
      <w:r w:rsidR="000C016A" w:rsidRPr="0080033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72099" w:rsidRPr="0080033D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B388E" w:rsidRPr="0080033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B388E" w:rsidRPr="0080033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B388E" w:rsidRPr="0080033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B388E" w:rsidRPr="0080033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B388E" w:rsidRPr="0080033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B388E" w:rsidRPr="0080033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B388E" w:rsidRPr="0080033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B388E" w:rsidRPr="0080033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672099" w:rsidRPr="0080033D">
        <w:rPr>
          <w:rFonts w:ascii="Times New Roman" w:eastAsia="Calibri" w:hAnsi="Times New Roman" w:cs="Times New Roman"/>
          <w:bCs/>
          <w:sz w:val="28"/>
          <w:szCs w:val="28"/>
        </w:rPr>
        <w:tab/>
        <w:t>июль-август</w:t>
      </w:r>
      <w:r w:rsidR="00030C14" w:rsidRPr="008003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83855" w:rsidRPr="0080033D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AB69A5" w:rsidRPr="0080033D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551436" w:rsidRPr="0080033D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</w:p>
    <w:p w:rsidR="000D71B0" w:rsidRPr="0080033D" w:rsidRDefault="000D71B0" w:rsidP="00800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247" w:rsidRPr="0080033D" w:rsidRDefault="009D6247" w:rsidP="009D6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3D">
        <w:rPr>
          <w:rFonts w:ascii="Times New Roman" w:hAnsi="Times New Roman" w:cs="Times New Roman"/>
          <w:b/>
          <w:sz w:val="28"/>
          <w:szCs w:val="28"/>
        </w:rPr>
        <w:t xml:space="preserve">ТПП </w:t>
      </w:r>
      <w:r w:rsidR="0080033D">
        <w:rPr>
          <w:rFonts w:ascii="Times New Roman" w:hAnsi="Times New Roman" w:cs="Times New Roman"/>
          <w:b/>
          <w:sz w:val="28"/>
          <w:szCs w:val="28"/>
        </w:rPr>
        <w:t>РФ влияет на реформу</w:t>
      </w:r>
      <w:r w:rsidRPr="0080033D">
        <w:rPr>
          <w:rFonts w:ascii="Times New Roman" w:hAnsi="Times New Roman" w:cs="Times New Roman"/>
          <w:b/>
          <w:sz w:val="28"/>
          <w:szCs w:val="28"/>
        </w:rPr>
        <w:t xml:space="preserve"> контрольной и надзорной деятельности</w:t>
      </w:r>
    </w:p>
    <w:p w:rsidR="009D6247" w:rsidRPr="0080033D" w:rsidRDefault="009D6247" w:rsidP="009D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247" w:rsidRPr="0080033D" w:rsidRDefault="000D71B0" w:rsidP="009D624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3D">
        <w:rPr>
          <w:rFonts w:ascii="Times New Roman" w:eastAsia="Calibri" w:hAnsi="Times New Roman" w:cs="Times New Roman"/>
          <w:sz w:val="28"/>
          <w:szCs w:val="28"/>
        </w:rPr>
        <w:t>22 июля Президент ТПП РФ С.Н. Катырин выступил на совещании в Открытом п</w:t>
      </w:r>
      <w:r w:rsidR="0082365A">
        <w:rPr>
          <w:rFonts w:ascii="Times New Roman" w:eastAsia="Calibri" w:hAnsi="Times New Roman" w:cs="Times New Roman"/>
          <w:sz w:val="28"/>
          <w:szCs w:val="28"/>
        </w:rPr>
        <w:t xml:space="preserve">равительстве с позицией Палаты </w:t>
      </w:r>
      <w:r w:rsidRPr="0080033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2365A">
        <w:rPr>
          <w:rFonts w:ascii="Times New Roman" w:eastAsia="Calibri" w:hAnsi="Times New Roman" w:cs="Times New Roman"/>
          <w:sz w:val="28"/>
          <w:szCs w:val="28"/>
        </w:rPr>
        <w:t xml:space="preserve">вопросам </w:t>
      </w:r>
      <w:r w:rsidRPr="0080033D">
        <w:rPr>
          <w:rFonts w:ascii="Times New Roman" w:eastAsia="Calibri" w:hAnsi="Times New Roman" w:cs="Times New Roman"/>
          <w:sz w:val="28"/>
          <w:szCs w:val="28"/>
        </w:rPr>
        <w:t xml:space="preserve">эффективности </w:t>
      </w:r>
      <w:r w:rsidR="009D6247" w:rsidRPr="0080033D">
        <w:rPr>
          <w:rFonts w:ascii="Times New Roman" w:eastAsia="Calibri" w:hAnsi="Times New Roman" w:cs="Times New Roman"/>
          <w:sz w:val="28"/>
          <w:szCs w:val="28"/>
        </w:rPr>
        <w:t xml:space="preserve">показателей результативности стратегического направления «Реформа контрольной и надзорной деятельности». </w:t>
      </w:r>
      <w:r w:rsidRPr="0080033D">
        <w:rPr>
          <w:rFonts w:ascii="Times New Roman" w:eastAsia="Calibri" w:hAnsi="Times New Roman" w:cs="Times New Roman"/>
          <w:sz w:val="28"/>
          <w:szCs w:val="28"/>
        </w:rPr>
        <w:t xml:space="preserve">Ранее </w:t>
      </w:r>
      <w:r w:rsidR="009D6247" w:rsidRPr="0080033D">
        <w:rPr>
          <w:rFonts w:ascii="Times New Roman" w:eastAsia="Calibri" w:hAnsi="Times New Roman" w:cs="Times New Roman"/>
          <w:sz w:val="28"/>
          <w:szCs w:val="28"/>
        </w:rPr>
        <w:t xml:space="preserve">Палате было предложено оценить </w:t>
      </w:r>
      <w:r w:rsidRPr="0080033D">
        <w:rPr>
          <w:rFonts w:ascii="Times New Roman" w:eastAsia="Calibri" w:hAnsi="Times New Roman" w:cs="Times New Roman"/>
          <w:sz w:val="28"/>
          <w:szCs w:val="28"/>
        </w:rPr>
        <w:t xml:space="preserve">предложенные </w:t>
      </w:r>
      <w:r w:rsidR="009D6247" w:rsidRPr="0080033D">
        <w:rPr>
          <w:rFonts w:ascii="Times New Roman" w:eastAsia="Calibri" w:hAnsi="Times New Roman" w:cs="Times New Roman"/>
          <w:sz w:val="28"/>
          <w:szCs w:val="28"/>
        </w:rPr>
        <w:t>показатели</w:t>
      </w:r>
      <w:r w:rsidRPr="0080033D">
        <w:rPr>
          <w:rFonts w:ascii="Times New Roman" w:eastAsia="Calibri" w:hAnsi="Times New Roman" w:cs="Times New Roman"/>
          <w:sz w:val="28"/>
          <w:szCs w:val="28"/>
        </w:rPr>
        <w:t xml:space="preserve"> и выбрать наиболее действенные с точки зрения бизнеса</w:t>
      </w:r>
      <w:r w:rsidR="009D6247" w:rsidRPr="0080033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D71B0" w:rsidRPr="0080033D" w:rsidRDefault="000D71B0" w:rsidP="000D71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3D">
        <w:rPr>
          <w:rFonts w:ascii="Times New Roman" w:eastAsia="Calibri" w:hAnsi="Times New Roman" w:cs="Times New Roman"/>
          <w:sz w:val="28"/>
          <w:szCs w:val="28"/>
        </w:rPr>
        <w:t xml:space="preserve">В связи с этим Палатой </w:t>
      </w:r>
      <w:r w:rsidR="009D6247" w:rsidRPr="0080033D">
        <w:rPr>
          <w:rFonts w:ascii="Times New Roman" w:eastAsia="Calibri" w:hAnsi="Times New Roman" w:cs="Times New Roman"/>
          <w:sz w:val="28"/>
          <w:szCs w:val="28"/>
        </w:rPr>
        <w:t xml:space="preserve">проведен экспресс-опрос территориальных торгово-промышленных палат (Воронежской области, Краснодарского края, Татарстана, Алтайской, Новосибирской, Омской, Тульской) и членских организаций. </w:t>
      </w:r>
    </w:p>
    <w:p w:rsidR="000D71B0" w:rsidRPr="0080033D" w:rsidRDefault="009D6247" w:rsidP="009D62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>Президент ТПП РФ</w:t>
      </w:r>
      <w:r w:rsidR="000D71B0" w:rsidRPr="0080033D">
        <w:rPr>
          <w:rFonts w:ascii="Times New Roman" w:hAnsi="Times New Roman" w:cs="Times New Roman"/>
          <w:sz w:val="28"/>
          <w:szCs w:val="28"/>
        </w:rPr>
        <w:t xml:space="preserve"> С.Н. Катырин</w:t>
      </w:r>
      <w:r w:rsidR="00893B62">
        <w:rPr>
          <w:rFonts w:ascii="Times New Roman" w:hAnsi="Times New Roman" w:cs="Times New Roman"/>
          <w:sz w:val="28"/>
          <w:szCs w:val="28"/>
        </w:rPr>
        <w:t>, обобщая полученные результаты,</w:t>
      </w:r>
      <w:r w:rsidRPr="0080033D">
        <w:rPr>
          <w:rFonts w:ascii="Times New Roman" w:hAnsi="Times New Roman" w:cs="Times New Roman"/>
          <w:sz w:val="28"/>
          <w:szCs w:val="28"/>
        </w:rPr>
        <w:t xml:space="preserve"> отметил, что наиболее важными показателями результативности</w:t>
      </w:r>
      <w:r w:rsidR="000D71B0" w:rsidRPr="0080033D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80033D">
        <w:rPr>
          <w:rFonts w:ascii="Times New Roman" w:hAnsi="Times New Roman" w:cs="Times New Roman"/>
          <w:sz w:val="28"/>
          <w:szCs w:val="28"/>
        </w:rPr>
        <w:t xml:space="preserve">: увеличение доли контрольных мероприятий на основании </w:t>
      </w:r>
      <w:proofErr w:type="gramStart"/>
      <w:r w:rsidRPr="0080033D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80033D">
        <w:rPr>
          <w:rFonts w:ascii="Times New Roman" w:hAnsi="Times New Roman" w:cs="Times New Roman"/>
          <w:sz w:val="28"/>
          <w:szCs w:val="28"/>
        </w:rPr>
        <w:t xml:space="preserve"> подхода, сокращение количества контрольно-надзорных органов, сокращение плановых и внеплановых проверок и др. </w:t>
      </w:r>
    </w:p>
    <w:p w:rsidR="000D71B0" w:rsidRPr="0080033D" w:rsidRDefault="009D6247" w:rsidP="009D62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>С.Н. Катырин также предложил дополнить соответствующий п</w:t>
      </w:r>
      <w:r w:rsidR="00DE1E8D">
        <w:rPr>
          <w:rFonts w:ascii="Times New Roman" w:hAnsi="Times New Roman" w:cs="Times New Roman"/>
          <w:sz w:val="28"/>
          <w:szCs w:val="28"/>
        </w:rPr>
        <w:t>еречень такими показателями, как</w:t>
      </w:r>
      <w:r w:rsidRPr="0080033D">
        <w:rPr>
          <w:rFonts w:ascii="Times New Roman" w:hAnsi="Times New Roman" w:cs="Times New Roman"/>
          <w:sz w:val="28"/>
          <w:szCs w:val="28"/>
        </w:rPr>
        <w:t xml:space="preserve"> публичный рейтинг контрольно-надзорных мероприятий и количеств</w:t>
      </w:r>
      <w:r w:rsidR="00893B62">
        <w:rPr>
          <w:rFonts w:ascii="Times New Roman" w:hAnsi="Times New Roman" w:cs="Times New Roman"/>
          <w:sz w:val="28"/>
          <w:szCs w:val="28"/>
        </w:rPr>
        <w:t xml:space="preserve">о отмененных проверок </w:t>
      </w:r>
      <w:r w:rsidR="0082365A">
        <w:rPr>
          <w:rFonts w:ascii="Times New Roman" w:hAnsi="Times New Roman" w:cs="Times New Roman"/>
          <w:sz w:val="28"/>
          <w:szCs w:val="28"/>
        </w:rPr>
        <w:t xml:space="preserve">от </w:t>
      </w:r>
      <w:r w:rsidRPr="0080033D">
        <w:rPr>
          <w:rFonts w:ascii="Times New Roman" w:hAnsi="Times New Roman" w:cs="Times New Roman"/>
          <w:sz w:val="28"/>
          <w:szCs w:val="28"/>
        </w:rPr>
        <w:t xml:space="preserve">их </w:t>
      </w:r>
      <w:r w:rsidR="00893B62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80033D">
        <w:rPr>
          <w:rFonts w:ascii="Times New Roman" w:hAnsi="Times New Roman" w:cs="Times New Roman"/>
          <w:sz w:val="28"/>
          <w:szCs w:val="28"/>
        </w:rPr>
        <w:t xml:space="preserve">числа. </w:t>
      </w:r>
      <w:r w:rsidR="000D71B0" w:rsidRPr="0080033D">
        <w:rPr>
          <w:rFonts w:ascii="Times New Roman" w:hAnsi="Times New Roman" w:cs="Times New Roman"/>
          <w:sz w:val="28"/>
          <w:szCs w:val="28"/>
        </w:rPr>
        <w:t>Данные предложения были поддержаны в доработанном варианте итогового документа.</w:t>
      </w:r>
    </w:p>
    <w:p w:rsidR="009D6247" w:rsidRPr="0080033D" w:rsidRDefault="000D71B0" w:rsidP="009D62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 xml:space="preserve"> Также Президент ТПП РФ С.Н. Катырин</w:t>
      </w:r>
      <w:r w:rsidR="009D6247" w:rsidRPr="0080033D">
        <w:rPr>
          <w:rFonts w:ascii="Times New Roman" w:hAnsi="Times New Roman" w:cs="Times New Roman"/>
          <w:sz w:val="28"/>
          <w:szCs w:val="28"/>
        </w:rPr>
        <w:t xml:space="preserve"> подчеркнул, что соответствующие показатели результативности целесообразно утвердить постановлением Правительства РФ или иным актом, обязательным к исполнению всеми государственными органами. </w:t>
      </w:r>
    </w:p>
    <w:p w:rsidR="000D71B0" w:rsidRPr="0080033D" w:rsidRDefault="000D71B0" w:rsidP="00893B6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3D">
        <w:rPr>
          <w:rFonts w:ascii="Times New Roman" w:eastAsia="Calibri" w:hAnsi="Times New Roman" w:cs="Times New Roman"/>
          <w:sz w:val="28"/>
          <w:szCs w:val="28"/>
        </w:rPr>
        <w:t>Параллельно с указанным вопросом Палата проводила серию согласований</w:t>
      </w:r>
      <w:r w:rsidRPr="008003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D6247" w:rsidRPr="0080033D">
        <w:rPr>
          <w:rFonts w:ascii="Times New Roman" w:eastAsia="Calibri" w:hAnsi="Times New Roman" w:cs="Times New Roman"/>
          <w:sz w:val="28"/>
          <w:szCs w:val="28"/>
        </w:rPr>
        <w:t>проект</w:t>
      </w:r>
      <w:r w:rsidRPr="0080033D">
        <w:rPr>
          <w:rFonts w:ascii="Times New Roman" w:eastAsia="Calibri" w:hAnsi="Times New Roman" w:cs="Times New Roman"/>
          <w:sz w:val="28"/>
          <w:szCs w:val="28"/>
        </w:rPr>
        <w:t>а</w:t>
      </w:r>
      <w:r w:rsidR="009D6247" w:rsidRPr="0080033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«Об основах государственного и муниципального контроля (надзора) в РФ»</w:t>
      </w:r>
      <w:r w:rsidRPr="0080033D">
        <w:rPr>
          <w:rFonts w:ascii="Times New Roman" w:eastAsia="Calibri" w:hAnsi="Times New Roman" w:cs="Times New Roman"/>
          <w:sz w:val="28"/>
          <w:szCs w:val="28"/>
        </w:rPr>
        <w:t>, который с разногласиями 1 августа</w:t>
      </w:r>
      <w:r w:rsidR="009D6247" w:rsidRPr="00800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033D">
        <w:rPr>
          <w:rFonts w:ascii="Times New Roman" w:eastAsia="Calibri" w:hAnsi="Times New Roman" w:cs="Times New Roman"/>
          <w:sz w:val="28"/>
          <w:szCs w:val="28"/>
        </w:rPr>
        <w:t xml:space="preserve">был </w:t>
      </w:r>
      <w:r w:rsidR="009D6247" w:rsidRPr="0080033D">
        <w:rPr>
          <w:rFonts w:ascii="Times New Roman" w:eastAsia="Calibri" w:hAnsi="Times New Roman" w:cs="Times New Roman"/>
          <w:sz w:val="28"/>
          <w:szCs w:val="28"/>
        </w:rPr>
        <w:t>внесен в Правительство РФ.</w:t>
      </w:r>
      <w:r w:rsidRPr="00800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6247" w:rsidRPr="0080033D">
        <w:rPr>
          <w:rFonts w:ascii="Times New Roman" w:eastAsia="Calibri" w:hAnsi="Times New Roman" w:cs="Times New Roman"/>
          <w:sz w:val="28"/>
          <w:szCs w:val="28"/>
        </w:rPr>
        <w:t xml:space="preserve">В законопроекте учтены важные замечания Палаты. Так, существенно переработан раздел, касающийся форм и методов контроля. Исключены такие формы контроля, как наблюдение, контроль без взаимодействия с проверяемыми лицами. Кроме того, сокращен срок приостановления проверки в отношении субъектов малого предпринимательства с 10 до 5 рабочих дней. </w:t>
      </w:r>
    </w:p>
    <w:p w:rsidR="00893B62" w:rsidRDefault="0082365A" w:rsidP="000D71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Вместе с тем </w:t>
      </w:r>
      <w:r w:rsidR="009D6247" w:rsidRPr="0080033D">
        <w:rPr>
          <w:rFonts w:ascii="Times New Roman" w:eastAsia="Calibri" w:hAnsi="Times New Roman" w:cs="Times New Roman"/>
          <w:sz w:val="28"/>
          <w:szCs w:val="28"/>
        </w:rPr>
        <w:t xml:space="preserve">ряд существенных замечаний </w:t>
      </w:r>
      <w:r w:rsidR="00893B62">
        <w:rPr>
          <w:rFonts w:ascii="Times New Roman" w:eastAsia="Calibri" w:hAnsi="Times New Roman" w:cs="Times New Roman"/>
          <w:sz w:val="28"/>
          <w:szCs w:val="28"/>
        </w:rPr>
        <w:t xml:space="preserve">в проекте </w:t>
      </w:r>
      <w:r w:rsidR="000D71B0" w:rsidRPr="0080033D">
        <w:rPr>
          <w:rFonts w:ascii="Times New Roman" w:eastAsia="Calibri" w:hAnsi="Times New Roman" w:cs="Times New Roman"/>
          <w:sz w:val="28"/>
          <w:szCs w:val="28"/>
        </w:rPr>
        <w:t xml:space="preserve">сохраняется, в частности, открытый перечень оснований для проведения внеплановых проверок бизнеса. </w:t>
      </w:r>
    </w:p>
    <w:p w:rsidR="000D71B0" w:rsidRDefault="000D71B0" w:rsidP="000D71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3D">
        <w:rPr>
          <w:rFonts w:ascii="Times New Roman" w:eastAsia="Calibri" w:hAnsi="Times New Roman" w:cs="Times New Roman"/>
          <w:sz w:val="28"/>
          <w:szCs w:val="28"/>
        </w:rPr>
        <w:t xml:space="preserve">Палата согласовала законопроект в представленной редакции при условии, что он будет существенно доработан на площадке Государственной Думы нового созыва. </w:t>
      </w:r>
    </w:p>
    <w:p w:rsidR="0080033D" w:rsidRPr="0080033D" w:rsidRDefault="0080033D" w:rsidP="000D71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044" w:rsidRPr="0080033D" w:rsidRDefault="008E5044" w:rsidP="008E5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</w:t>
      </w:r>
      <w:r w:rsidR="000D71B0" w:rsidRPr="0080033D">
        <w:rPr>
          <w:rFonts w:ascii="Times New Roman" w:hAnsi="Times New Roman" w:cs="Times New Roman"/>
          <w:b/>
          <w:sz w:val="28"/>
          <w:szCs w:val="28"/>
        </w:rPr>
        <w:t xml:space="preserve">Палате </w:t>
      </w:r>
      <w:r w:rsidRPr="0080033D">
        <w:rPr>
          <w:rFonts w:ascii="Times New Roman" w:hAnsi="Times New Roman" w:cs="Times New Roman"/>
          <w:b/>
          <w:sz w:val="28"/>
          <w:szCs w:val="28"/>
        </w:rPr>
        <w:t>обсуд</w:t>
      </w:r>
      <w:r w:rsidR="00B10876" w:rsidRPr="0080033D">
        <w:rPr>
          <w:rFonts w:ascii="Times New Roman" w:hAnsi="Times New Roman" w:cs="Times New Roman"/>
          <w:b/>
          <w:sz w:val="28"/>
          <w:szCs w:val="28"/>
        </w:rPr>
        <w:t>или новый порядок применения кассовой техники</w:t>
      </w:r>
    </w:p>
    <w:p w:rsidR="008E5044" w:rsidRPr="0080033D" w:rsidRDefault="008E5044" w:rsidP="008E5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044" w:rsidRPr="0080033D" w:rsidRDefault="008E5044" w:rsidP="008E5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33D">
        <w:rPr>
          <w:rFonts w:ascii="Times New Roman" w:hAnsi="Times New Roman" w:cs="Times New Roman"/>
          <w:sz w:val="28"/>
          <w:szCs w:val="28"/>
        </w:rPr>
        <w:t xml:space="preserve">28 </w:t>
      </w:r>
      <w:r w:rsidR="00A132F2" w:rsidRPr="0080033D">
        <w:rPr>
          <w:rFonts w:ascii="Times New Roman" w:hAnsi="Times New Roman" w:cs="Times New Roman"/>
          <w:sz w:val="28"/>
          <w:szCs w:val="28"/>
        </w:rPr>
        <w:t>июля</w:t>
      </w:r>
      <w:r w:rsidRPr="0080033D">
        <w:rPr>
          <w:rFonts w:ascii="Times New Roman" w:hAnsi="Times New Roman" w:cs="Times New Roman"/>
          <w:sz w:val="28"/>
          <w:szCs w:val="28"/>
        </w:rPr>
        <w:t xml:space="preserve"> 2016 года в ТПП РФ состоялось очередное заседание налоговой рабочей группы</w:t>
      </w:r>
      <w:r w:rsidR="00B10876" w:rsidRPr="0080033D">
        <w:rPr>
          <w:rFonts w:ascii="Times New Roman" w:hAnsi="Times New Roman" w:cs="Times New Roman"/>
          <w:sz w:val="28"/>
          <w:szCs w:val="28"/>
        </w:rPr>
        <w:t xml:space="preserve"> по электронному документообороту</w:t>
      </w:r>
      <w:r w:rsidRPr="0080033D">
        <w:rPr>
          <w:rFonts w:ascii="Times New Roman" w:hAnsi="Times New Roman" w:cs="Times New Roman"/>
          <w:sz w:val="28"/>
          <w:szCs w:val="28"/>
        </w:rPr>
        <w:t xml:space="preserve">, в которой приняли участие </w:t>
      </w:r>
      <w:r w:rsidR="00893B62">
        <w:rPr>
          <w:rFonts w:ascii="Times New Roman" w:hAnsi="Times New Roman" w:cs="Times New Roman"/>
          <w:sz w:val="28"/>
          <w:szCs w:val="28"/>
        </w:rPr>
        <w:t xml:space="preserve">Директор Департамента законотворческой деятельности Д.Е. Фадеев, </w:t>
      </w:r>
      <w:r w:rsidRPr="0080033D">
        <w:rPr>
          <w:rFonts w:ascii="Times New Roman" w:hAnsi="Times New Roman" w:cs="Times New Roman"/>
          <w:sz w:val="28"/>
          <w:szCs w:val="28"/>
        </w:rPr>
        <w:t>и.о. начальника управления оперативного кон</w:t>
      </w:r>
      <w:r w:rsidR="0082365A">
        <w:rPr>
          <w:rFonts w:ascii="Times New Roman" w:hAnsi="Times New Roman" w:cs="Times New Roman"/>
          <w:sz w:val="28"/>
          <w:szCs w:val="28"/>
        </w:rPr>
        <w:t xml:space="preserve">троля ФНС России А.В. </w:t>
      </w:r>
      <w:proofErr w:type="spellStart"/>
      <w:r w:rsidR="0082365A">
        <w:rPr>
          <w:rFonts w:ascii="Times New Roman" w:hAnsi="Times New Roman" w:cs="Times New Roman"/>
          <w:sz w:val="28"/>
          <w:szCs w:val="28"/>
        </w:rPr>
        <w:t>Бударин</w:t>
      </w:r>
      <w:proofErr w:type="spellEnd"/>
      <w:r w:rsidR="0082365A">
        <w:rPr>
          <w:rFonts w:ascii="Times New Roman" w:hAnsi="Times New Roman" w:cs="Times New Roman"/>
          <w:sz w:val="28"/>
          <w:szCs w:val="28"/>
        </w:rPr>
        <w:t>, П</w:t>
      </w:r>
      <w:r w:rsidRPr="0080033D">
        <w:rPr>
          <w:rFonts w:ascii="Times New Roman" w:hAnsi="Times New Roman" w:cs="Times New Roman"/>
          <w:sz w:val="28"/>
          <w:szCs w:val="28"/>
        </w:rPr>
        <w:t>редседатель Комитета ТПП РФ по развитию потребительского рынка А.И. Борисов, директор Союза независимых сетей России С.А. Кузнецов, заместитель руководителя Рабочей</w:t>
      </w:r>
      <w:proofErr w:type="gramEnd"/>
      <w:r w:rsidRPr="0080033D">
        <w:rPr>
          <w:rFonts w:ascii="Times New Roman" w:hAnsi="Times New Roman" w:cs="Times New Roman"/>
          <w:sz w:val="28"/>
          <w:szCs w:val="28"/>
        </w:rPr>
        <w:t xml:space="preserve"> группы В.Ю. Зудин, а также более ста представителей бизнеса, членских организаций Пал</w:t>
      </w:r>
      <w:r w:rsidR="00717468" w:rsidRPr="0080033D">
        <w:rPr>
          <w:rFonts w:ascii="Times New Roman" w:hAnsi="Times New Roman" w:cs="Times New Roman"/>
          <w:sz w:val="28"/>
          <w:szCs w:val="28"/>
        </w:rPr>
        <w:t>аты. В ходе мероприятия велась и</w:t>
      </w:r>
      <w:r w:rsidRPr="0080033D">
        <w:rPr>
          <w:rFonts w:ascii="Times New Roman" w:hAnsi="Times New Roman" w:cs="Times New Roman"/>
          <w:sz w:val="28"/>
          <w:szCs w:val="28"/>
        </w:rPr>
        <w:t>нтернет-трансляция заседания на сайте ТПП РФ, к которой подключались территориальные</w:t>
      </w:r>
      <w:r w:rsidR="00717468" w:rsidRPr="0080033D">
        <w:rPr>
          <w:rFonts w:ascii="Times New Roman" w:hAnsi="Times New Roman" w:cs="Times New Roman"/>
          <w:sz w:val="28"/>
          <w:szCs w:val="28"/>
        </w:rPr>
        <w:t xml:space="preserve"> ТПП (Московская, Приморская и д</w:t>
      </w:r>
      <w:r w:rsidRPr="0080033D">
        <w:rPr>
          <w:rFonts w:ascii="Times New Roman" w:hAnsi="Times New Roman" w:cs="Times New Roman"/>
          <w:sz w:val="28"/>
          <w:szCs w:val="28"/>
        </w:rPr>
        <w:t>р.).</w:t>
      </w:r>
    </w:p>
    <w:p w:rsidR="008E5044" w:rsidRPr="0080033D" w:rsidRDefault="00437D55" w:rsidP="00443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>У</w:t>
      </w:r>
      <w:r w:rsidR="008E5044" w:rsidRPr="0080033D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Pr="0080033D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E5044" w:rsidRPr="0080033D">
        <w:rPr>
          <w:rFonts w:ascii="Times New Roman" w:hAnsi="Times New Roman" w:cs="Times New Roman"/>
          <w:sz w:val="28"/>
          <w:szCs w:val="28"/>
        </w:rPr>
        <w:t>обсудили новый порядок применения кассовых аппаратов, который будет вступать в силу поэтапно до 1 июля 2018 года. Как пояснил А.В.Бударин, этот порядок применения ККТ предусматривает применение новых типов кассовых аппаратов с фискальным накопителем, которые в режиме реального времени направляют информацию о совершенной покупке в нал</w:t>
      </w:r>
      <w:r w:rsidRPr="0080033D">
        <w:rPr>
          <w:rFonts w:ascii="Times New Roman" w:hAnsi="Times New Roman" w:cs="Times New Roman"/>
          <w:sz w:val="28"/>
          <w:szCs w:val="28"/>
        </w:rPr>
        <w:t>оговые органы. Налогоплательщик -</w:t>
      </w:r>
      <w:r w:rsidR="00893B62">
        <w:rPr>
          <w:rFonts w:ascii="Times New Roman" w:hAnsi="Times New Roman" w:cs="Times New Roman"/>
          <w:sz w:val="28"/>
          <w:szCs w:val="28"/>
        </w:rPr>
        <w:t xml:space="preserve"> собственник кассового аппарата</w:t>
      </w:r>
      <w:r w:rsidR="008E5044" w:rsidRPr="0080033D">
        <w:rPr>
          <w:rFonts w:ascii="Times New Roman" w:hAnsi="Times New Roman" w:cs="Times New Roman"/>
          <w:sz w:val="28"/>
          <w:szCs w:val="28"/>
        </w:rPr>
        <w:t xml:space="preserve"> сможет его зарегистрировать в своем личном кабинете на сайте налоговой службы. Покупатель, в свою очередь, в режиме он-лайн </w:t>
      </w:r>
      <w:r w:rsidR="00893B62">
        <w:rPr>
          <w:rFonts w:ascii="Times New Roman" w:hAnsi="Times New Roman" w:cs="Times New Roman"/>
          <w:sz w:val="28"/>
          <w:szCs w:val="28"/>
        </w:rPr>
        <w:t xml:space="preserve">будет иметь возможность </w:t>
      </w:r>
      <w:r w:rsidR="008E5044" w:rsidRPr="0080033D">
        <w:rPr>
          <w:rFonts w:ascii="Times New Roman" w:hAnsi="Times New Roman" w:cs="Times New Roman"/>
          <w:sz w:val="28"/>
          <w:szCs w:val="28"/>
        </w:rPr>
        <w:t xml:space="preserve">проверить выданный ему чек с помощью мобильного приложения на смартфоне. Основная идея, заложенная в новый порядок, - повысить уровень контроля за полнотой отражения выручки в отчетных документах, пресечь правонарушения при применении ККТ, создать </w:t>
      </w:r>
      <w:r w:rsidR="00893B62">
        <w:rPr>
          <w:rFonts w:ascii="Times New Roman" w:hAnsi="Times New Roman" w:cs="Times New Roman"/>
          <w:sz w:val="28"/>
          <w:szCs w:val="28"/>
        </w:rPr>
        <w:t xml:space="preserve">эффективные инструменты </w:t>
      </w:r>
      <w:r w:rsidR="008E5044" w:rsidRPr="0080033D">
        <w:rPr>
          <w:rFonts w:ascii="Times New Roman" w:hAnsi="Times New Roman" w:cs="Times New Roman"/>
          <w:sz w:val="28"/>
          <w:szCs w:val="28"/>
        </w:rPr>
        <w:t>контроля и др.</w:t>
      </w:r>
    </w:p>
    <w:p w:rsidR="008E5044" w:rsidRPr="0080033D" w:rsidRDefault="008E5044" w:rsidP="00443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>Представители бизнеса высказали ряд опасений, связанных с дополнительной административной и финансовой нагрузкой, с непроработанностью процессов взаимодействия. А.В. Бударин пояснил,</w:t>
      </w:r>
      <w:r w:rsidR="00893B62">
        <w:rPr>
          <w:rFonts w:ascii="Times New Roman" w:hAnsi="Times New Roman" w:cs="Times New Roman"/>
          <w:sz w:val="28"/>
          <w:szCs w:val="28"/>
        </w:rPr>
        <w:t xml:space="preserve"> что процесс взаимодействия </w:t>
      </w:r>
      <w:r w:rsidRPr="0080033D">
        <w:rPr>
          <w:rFonts w:ascii="Times New Roman" w:hAnsi="Times New Roman" w:cs="Times New Roman"/>
          <w:sz w:val="28"/>
          <w:szCs w:val="28"/>
        </w:rPr>
        <w:t>был отработан на пилотном проекте, который проходил с</w:t>
      </w:r>
      <w:r w:rsidR="0082365A">
        <w:rPr>
          <w:rFonts w:ascii="Times New Roman" w:hAnsi="Times New Roman" w:cs="Times New Roman"/>
          <w:sz w:val="28"/>
          <w:szCs w:val="28"/>
        </w:rPr>
        <w:t xml:space="preserve"> августа 2014 года. Н</w:t>
      </w:r>
      <w:r w:rsidRPr="0080033D">
        <w:rPr>
          <w:rFonts w:ascii="Times New Roman" w:hAnsi="Times New Roman" w:cs="Times New Roman"/>
          <w:sz w:val="28"/>
          <w:szCs w:val="28"/>
        </w:rPr>
        <w:t>овый порядок применения ККТ позволит отказаться от ряда отчетных документов, а финансовая нагрузка, по сравнению с действующим по</w:t>
      </w:r>
      <w:r w:rsidR="0082365A">
        <w:rPr>
          <w:rFonts w:ascii="Times New Roman" w:hAnsi="Times New Roman" w:cs="Times New Roman"/>
          <w:sz w:val="28"/>
          <w:szCs w:val="28"/>
        </w:rPr>
        <w:t>рядком, повысится незначительно -</w:t>
      </w:r>
      <w:r w:rsidRPr="0080033D">
        <w:rPr>
          <w:rFonts w:ascii="Times New Roman" w:hAnsi="Times New Roman" w:cs="Times New Roman"/>
          <w:sz w:val="28"/>
          <w:szCs w:val="28"/>
        </w:rPr>
        <w:t xml:space="preserve"> на сумму договора с оператором фискальных данных.</w:t>
      </w:r>
    </w:p>
    <w:p w:rsidR="00B10876" w:rsidRPr="0080033D" w:rsidRDefault="00B10876" w:rsidP="00B1087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0033D" w:rsidRPr="0080033D" w:rsidRDefault="0080033D" w:rsidP="008003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ТПП РФ согласовала правительственный план систематизации неналоговых платежей</w:t>
      </w:r>
    </w:p>
    <w:p w:rsidR="0080033D" w:rsidRPr="0080033D" w:rsidRDefault="0080033D" w:rsidP="00800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11A" w:rsidRDefault="00C3611A" w:rsidP="00800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и реализация Плана предусмотрена </w:t>
      </w:r>
      <w:r w:rsidR="0080033D"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80033D"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«е» Перечня поручений Президента РФ В.В. Путина по итогам </w:t>
      </w:r>
      <w:r w:rsidR="0080033D" w:rsidRPr="0080033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="0080033D"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Съезда ТПП РФ. </w:t>
      </w:r>
    </w:p>
    <w:p w:rsidR="0080033D" w:rsidRPr="00C3611A" w:rsidRDefault="0080033D" w:rsidP="00C36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августа 20</w:t>
      </w:r>
      <w:r w:rsidR="00C3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 года План согласован ТПП России, а его </w:t>
      </w:r>
      <w:r w:rsidR="00C361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0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рассчитаны до сентября 2017 года и включают семь этапов. </w:t>
      </w:r>
      <w:r w:rsidR="00C3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Палате совместно с </w:t>
      </w:r>
      <w:r w:rsidRPr="0080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Минфином и Минэкономразвития РФ </w:t>
      </w:r>
      <w:r w:rsidR="00C3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поручено в 2017 году провести </w:t>
      </w:r>
      <w:r w:rsidRPr="008003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инвентаризацию существующих платежей с целью выявления издержек бизнеса по их уплате.</w:t>
      </w:r>
    </w:p>
    <w:p w:rsidR="0080033D" w:rsidRPr="0080033D" w:rsidRDefault="00C3611A" w:rsidP="00800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ТПП России планирует у</w:t>
      </w:r>
      <w:r w:rsidR="0080033D" w:rsidRPr="0080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частвовать в разработке и принятии проекта федерального закона о порядке установления, исчисления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взимания неналоговых платежей, который должен быть внесен в Правительство РФ в декабре 2016 года. В проекте</w:t>
      </w:r>
      <w:r w:rsidR="0080033D" w:rsidRPr="0080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закреплены единые принципы администрирования платежей, установлен срок, с наступлением которого ни на кого не может быть возложена обязанность вносить платеж, который не предусмотрен Налоговым кодексом РФ и не включен в реестр обязательных публичных платежей. Ранее Палата направляла в Минфин РФ свои предложения по структуре и основным положениям проекта закона.</w:t>
      </w:r>
    </w:p>
    <w:p w:rsidR="0080033D" w:rsidRPr="0080033D" w:rsidRDefault="0080033D" w:rsidP="00800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2017 года Минфину РФ поручено совместно с ТПП РФ представить в Правительство РФ доклад с оценкой экономической эффективности взимания неналоговых платежей, включая оценку расходов на их администрирование, оценку целесообразности их укрупнения</w:t>
      </w:r>
      <w:r w:rsidR="00E016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 </w:t>
      </w:r>
    </w:p>
    <w:p w:rsidR="0080033D" w:rsidRPr="0080033D" w:rsidRDefault="0080033D" w:rsidP="000C35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5D4" w:rsidRPr="0080033D" w:rsidRDefault="000C35D4" w:rsidP="000C35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3D">
        <w:rPr>
          <w:rFonts w:ascii="Times New Roman" w:hAnsi="Times New Roman" w:cs="Times New Roman"/>
          <w:b/>
          <w:sz w:val="28"/>
          <w:szCs w:val="28"/>
        </w:rPr>
        <w:t>Социальному предпринимательству - зеленый свет!</w:t>
      </w:r>
    </w:p>
    <w:p w:rsidR="000C35D4" w:rsidRPr="0080033D" w:rsidRDefault="000C35D4" w:rsidP="000C3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5D4" w:rsidRPr="0080033D" w:rsidRDefault="000C35D4" w:rsidP="000C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>Мин</w:t>
      </w:r>
      <w:r w:rsidR="00C75627" w:rsidRPr="0080033D">
        <w:rPr>
          <w:rFonts w:ascii="Times New Roman" w:hAnsi="Times New Roman" w:cs="Times New Roman"/>
          <w:sz w:val="28"/>
          <w:szCs w:val="28"/>
        </w:rPr>
        <w:t xml:space="preserve">экономразвития России </w:t>
      </w:r>
      <w:r w:rsidR="00C3611A">
        <w:rPr>
          <w:rFonts w:ascii="Times New Roman" w:hAnsi="Times New Roman" w:cs="Times New Roman"/>
          <w:sz w:val="28"/>
          <w:szCs w:val="28"/>
        </w:rPr>
        <w:t xml:space="preserve">в августе текущего года </w:t>
      </w:r>
      <w:r w:rsidR="00C75627" w:rsidRPr="0080033D">
        <w:rPr>
          <w:rFonts w:ascii="Times New Roman" w:hAnsi="Times New Roman" w:cs="Times New Roman"/>
          <w:sz w:val="28"/>
          <w:szCs w:val="28"/>
        </w:rPr>
        <w:t>разработало</w:t>
      </w:r>
      <w:r w:rsidRPr="0080033D">
        <w:rPr>
          <w:rFonts w:ascii="Times New Roman" w:hAnsi="Times New Roman" w:cs="Times New Roman"/>
          <w:sz w:val="28"/>
          <w:szCs w:val="28"/>
        </w:rPr>
        <w:t xml:space="preserve"> проект феде</w:t>
      </w:r>
      <w:r w:rsidR="0082365A">
        <w:rPr>
          <w:rFonts w:ascii="Times New Roman" w:hAnsi="Times New Roman" w:cs="Times New Roman"/>
          <w:sz w:val="28"/>
          <w:szCs w:val="28"/>
        </w:rPr>
        <w:t>рального закона</w:t>
      </w:r>
      <w:r w:rsidRPr="0080033D">
        <w:rPr>
          <w:rFonts w:ascii="Times New Roman" w:hAnsi="Times New Roman" w:cs="Times New Roman"/>
          <w:sz w:val="28"/>
          <w:szCs w:val="28"/>
        </w:rPr>
        <w:t>, которым закрепляется понятие «социальное предпринимательство» и устанавливается целый ряд мер,</w:t>
      </w:r>
      <w:r w:rsidR="00D866F2" w:rsidRPr="0080033D">
        <w:rPr>
          <w:rFonts w:ascii="Times New Roman" w:hAnsi="Times New Roman" w:cs="Times New Roman"/>
          <w:sz w:val="28"/>
          <w:szCs w:val="28"/>
        </w:rPr>
        <w:t xml:space="preserve"> направленных на его поддержку.</w:t>
      </w:r>
      <w:r w:rsidR="00893B62">
        <w:rPr>
          <w:rFonts w:ascii="Times New Roman" w:hAnsi="Times New Roman" w:cs="Times New Roman"/>
          <w:sz w:val="28"/>
          <w:szCs w:val="28"/>
        </w:rPr>
        <w:t xml:space="preserve"> Необходимость такой меры предусмотрена разделом 5.7. Приоритетных направлений деятельности ТПП РФ на 2016 – 2020 гг.</w:t>
      </w:r>
    </w:p>
    <w:p w:rsidR="000C35D4" w:rsidRPr="0080033D" w:rsidRDefault="004D34D1" w:rsidP="004D34D1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>З</w:t>
      </w:r>
      <w:r w:rsidR="000C35D4" w:rsidRPr="0080033D">
        <w:rPr>
          <w:rFonts w:ascii="Times New Roman" w:hAnsi="Times New Roman" w:cs="Times New Roman"/>
          <w:sz w:val="28"/>
          <w:szCs w:val="28"/>
        </w:rPr>
        <w:t>аконопроект предусматривает использование таких к</w:t>
      </w:r>
      <w:r w:rsidR="00893B62">
        <w:rPr>
          <w:rFonts w:ascii="Times New Roman" w:hAnsi="Times New Roman" w:cs="Times New Roman"/>
          <w:sz w:val="28"/>
          <w:szCs w:val="28"/>
        </w:rPr>
        <w:t>ритериев отнесения субъектов малого и среднего предпринимательства (далее – МСП)</w:t>
      </w:r>
      <w:r w:rsidR="000C35D4" w:rsidRPr="0080033D">
        <w:rPr>
          <w:rFonts w:ascii="Times New Roman" w:hAnsi="Times New Roman" w:cs="Times New Roman"/>
          <w:sz w:val="28"/>
          <w:szCs w:val="28"/>
        </w:rPr>
        <w:t xml:space="preserve"> к субъектам социального предпринимательства, как </w:t>
      </w:r>
      <w:r w:rsidR="007677E7" w:rsidRPr="0080033D">
        <w:rPr>
          <w:rFonts w:ascii="Times New Roman" w:hAnsi="Times New Roman" w:cs="Times New Roman"/>
          <w:sz w:val="28"/>
          <w:szCs w:val="28"/>
        </w:rPr>
        <w:t xml:space="preserve">специализация предприятия на </w:t>
      </w:r>
      <w:r w:rsidR="000C35D4" w:rsidRPr="0080033D">
        <w:rPr>
          <w:rFonts w:ascii="Times New Roman" w:hAnsi="Times New Roman" w:cs="Times New Roman"/>
          <w:sz w:val="28"/>
          <w:szCs w:val="28"/>
        </w:rPr>
        <w:t>производстве продукции и предоставлении услуг в интересах граждан, находящих</w:t>
      </w:r>
      <w:r w:rsidR="0082365A">
        <w:rPr>
          <w:rFonts w:ascii="Times New Roman" w:hAnsi="Times New Roman" w:cs="Times New Roman"/>
          <w:sz w:val="28"/>
          <w:szCs w:val="28"/>
        </w:rPr>
        <w:t>ся в трудной жизненной ситуации,</w:t>
      </w:r>
      <w:r w:rsidR="000C35D4" w:rsidRPr="0080033D">
        <w:rPr>
          <w:rFonts w:ascii="Times New Roman" w:hAnsi="Times New Roman" w:cs="Times New Roman"/>
          <w:sz w:val="28"/>
          <w:szCs w:val="28"/>
        </w:rPr>
        <w:t xml:space="preserve"> или </w:t>
      </w:r>
      <w:r w:rsidR="007677E7" w:rsidRPr="0080033D">
        <w:rPr>
          <w:rFonts w:ascii="Times New Roman" w:hAnsi="Times New Roman" w:cs="Times New Roman"/>
          <w:sz w:val="28"/>
          <w:szCs w:val="28"/>
        </w:rPr>
        <w:t>создание рабочих мест для таких</w:t>
      </w:r>
      <w:r w:rsidR="000C35D4" w:rsidRPr="0080033D">
        <w:rPr>
          <w:rFonts w:ascii="Times New Roman" w:hAnsi="Times New Roman" w:cs="Times New Roman"/>
          <w:sz w:val="28"/>
          <w:szCs w:val="28"/>
        </w:rPr>
        <w:t xml:space="preserve"> граждан. При этом конкретные у</w:t>
      </w:r>
      <w:r w:rsidR="007677E7" w:rsidRPr="0080033D">
        <w:rPr>
          <w:rFonts w:ascii="Times New Roman" w:hAnsi="Times New Roman" w:cs="Times New Roman"/>
          <w:sz w:val="28"/>
          <w:szCs w:val="28"/>
        </w:rPr>
        <w:t xml:space="preserve">словия отнесения субъектов МСП </w:t>
      </w:r>
      <w:r w:rsidR="000C35D4" w:rsidRPr="0080033D">
        <w:rPr>
          <w:rFonts w:ascii="Times New Roman" w:hAnsi="Times New Roman" w:cs="Times New Roman"/>
          <w:sz w:val="28"/>
          <w:szCs w:val="28"/>
        </w:rPr>
        <w:t>к субъектам в области социального предпринимательства будут утверждены Правительством Российской Федерации.</w:t>
      </w:r>
    </w:p>
    <w:p w:rsidR="000C35D4" w:rsidRPr="0080033D" w:rsidRDefault="0082365A" w:rsidP="000C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0C35D4" w:rsidRPr="0080033D">
        <w:rPr>
          <w:rFonts w:ascii="Times New Roman" w:hAnsi="Times New Roman" w:cs="Times New Roman"/>
          <w:sz w:val="28"/>
          <w:szCs w:val="28"/>
        </w:rPr>
        <w:t xml:space="preserve"> в прое</w:t>
      </w:r>
      <w:proofErr w:type="gramStart"/>
      <w:r w:rsidR="000C35D4" w:rsidRPr="0080033D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="000C35D4" w:rsidRPr="0080033D">
        <w:rPr>
          <w:rFonts w:ascii="Times New Roman" w:hAnsi="Times New Roman" w:cs="Times New Roman"/>
          <w:sz w:val="28"/>
          <w:szCs w:val="28"/>
        </w:rPr>
        <w:t>ючена отдельная статья, определяющая единые принципы оказания поддержки субъектов социального предприним</w:t>
      </w:r>
      <w:r w:rsidR="007677E7" w:rsidRPr="0080033D">
        <w:rPr>
          <w:rFonts w:ascii="Times New Roman" w:hAnsi="Times New Roman" w:cs="Times New Roman"/>
          <w:sz w:val="28"/>
          <w:szCs w:val="28"/>
        </w:rPr>
        <w:t xml:space="preserve">ательства. Указанная поддержка </w:t>
      </w:r>
      <w:r w:rsidR="000C35D4" w:rsidRPr="0080033D">
        <w:rPr>
          <w:rFonts w:ascii="Times New Roman" w:hAnsi="Times New Roman" w:cs="Times New Roman"/>
          <w:sz w:val="28"/>
          <w:szCs w:val="28"/>
        </w:rPr>
        <w:t>будет осуществляться органами государственной власти и органами местного самоуправления в виде создания и развития специализированных организаций инфраструктуры поддержки субъектов социального предпринимательства, предоставления на льготных условиях помещений, создания банков франшиз, реализации образовательных мероприятий, организации доступа субъектов социального предпринимательства к осуществлению функций социального обслуживания граждан.</w:t>
      </w:r>
    </w:p>
    <w:p w:rsidR="000C35D4" w:rsidRPr="0080033D" w:rsidRDefault="000C35D4" w:rsidP="00767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 xml:space="preserve">В целях оказания дополнительной имущественной поддержки рассматриваемой категории предпринимателей законопроектом предусмотрено внесение изменений </w:t>
      </w:r>
      <w:r w:rsidR="007677E7" w:rsidRPr="0080033D">
        <w:rPr>
          <w:rFonts w:ascii="Times New Roman" w:hAnsi="Times New Roman" w:cs="Times New Roman"/>
          <w:sz w:val="28"/>
          <w:szCs w:val="28"/>
        </w:rPr>
        <w:t>в Федеральный закон № 135-ФЗ «О защите конкуренции» в части</w:t>
      </w:r>
      <w:r w:rsidRPr="0080033D">
        <w:rPr>
          <w:rFonts w:ascii="Times New Roman" w:hAnsi="Times New Roman" w:cs="Times New Roman"/>
          <w:sz w:val="28"/>
          <w:szCs w:val="28"/>
        </w:rPr>
        <w:t xml:space="preserve"> создания возможности для заключения с субъектами социального предпринимательства договоров аренды государственного или муниципального </w:t>
      </w:r>
      <w:r w:rsidRPr="0080033D">
        <w:rPr>
          <w:rFonts w:ascii="Times New Roman" w:hAnsi="Times New Roman" w:cs="Times New Roman"/>
          <w:sz w:val="28"/>
          <w:szCs w:val="28"/>
        </w:rPr>
        <w:lastRenderedPageBreak/>
        <w:t>имущества без проведения конкурсов или аукционов.</w:t>
      </w:r>
      <w:r w:rsidR="00C3611A">
        <w:rPr>
          <w:rFonts w:ascii="Times New Roman" w:hAnsi="Times New Roman" w:cs="Times New Roman"/>
          <w:sz w:val="28"/>
          <w:szCs w:val="28"/>
        </w:rPr>
        <w:t xml:space="preserve"> </w:t>
      </w:r>
      <w:r w:rsidR="00B43DFD" w:rsidRPr="0080033D">
        <w:rPr>
          <w:rFonts w:ascii="Times New Roman" w:hAnsi="Times New Roman" w:cs="Times New Roman"/>
          <w:sz w:val="28"/>
          <w:szCs w:val="28"/>
        </w:rPr>
        <w:t>Законопроект прорабатывается в системе ТПП РФ.</w:t>
      </w:r>
    </w:p>
    <w:p w:rsidR="00CE1B7E" w:rsidRPr="0080033D" w:rsidRDefault="00CE1B7E" w:rsidP="002F7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044" w:rsidRPr="0080033D" w:rsidRDefault="00C24512" w:rsidP="008E5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Минтруд России предлагает реформу</w:t>
      </w:r>
      <w:r w:rsidR="008E5044" w:rsidRPr="0080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законодательства об охране труда</w:t>
      </w:r>
    </w:p>
    <w:p w:rsidR="008E5044" w:rsidRPr="0080033D" w:rsidRDefault="008E5044" w:rsidP="0044332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33D" w:rsidRDefault="008E5044" w:rsidP="008E50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Минтрудом России </w:t>
      </w:r>
      <w:r w:rsidRPr="0080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федерального закона «</w:t>
      </w:r>
      <w:r w:rsidRPr="008003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(в части совершенствования механизмов профилактики производственного травматизма и профессиональной заболеваемости, соблюдения трудового законодательства и иных нормативных правовых актов, содержащих нормы трудового права)», предусматривающий новую редакцию раздела Х «Охр</w:t>
      </w:r>
      <w:r w:rsidR="008003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труда» Трудового кодекса РФ.</w:t>
      </w:r>
    </w:p>
    <w:p w:rsidR="008E5044" w:rsidRPr="0080033D" w:rsidRDefault="008E5044" w:rsidP="008003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мнению ТПП РФ, </w:t>
      </w:r>
      <w:r w:rsidR="00823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законопроект увеличивает</w:t>
      </w:r>
      <w:r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финансовую и </w:t>
      </w:r>
      <w:r w:rsidR="00E62231"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административную нагрузку на работодателей и </w:t>
      </w:r>
      <w:r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</w:t>
      </w:r>
      <w:r w:rsidR="001B69B8"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к</w:t>
      </w:r>
      <w:r w:rsidR="00E62231"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ним</w:t>
      </w:r>
      <w:r w:rsidR="001B69B8"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Проект, в частности, предлагает </w:t>
      </w:r>
      <w:r w:rsidRPr="0080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всеми работодателями управления профессиональными рисками в систему управления охраной труда без дифференциации требований в зависимости от численности работников, условий труда и уровня производственного травматизма. При этом особенно высокая нагрузка ляжет на малый и частично средний бизнес, </w:t>
      </w:r>
      <w:r w:rsidR="0089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E62231" w:rsidRPr="00800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роста непроизводственных расходов увеличится себестоимость продукции</w:t>
      </w:r>
      <w:r w:rsidRPr="0080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3B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0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управления профессиональными рисками может потребовать увеличения штата на 2-3 человека для индивидуальных предпринимателей и организаций численностью до 20-30 человек.</w:t>
      </w:r>
    </w:p>
    <w:p w:rsidR="008E5044" w:rsidRPr="0080033D" w:rsidRDefault="004F3779" w:rsidP="008E50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крупных работодателей</w:t>
      </w:r>
      <w:r w:rsidR="008E5044" w:rsidRPr="0080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организовавших управление профессиональными рисками в рамка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собственных систем управления</w:t>
      </w:r>
      <w:r w:rsidR="008E5044" w:rsidRPr="0080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потребоваться значительные средства на их приведение в соо</w:t>
      </w:r>
      <w:r w:rsidR="001B69B8" w:rsidRPr="0080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тветствие </w:t>
      </w:r>
      <w:proofErr w:type="gramStart"/>
      <w:r w:rsidR="001B69B8" w:rsidRPr="008003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B69B8" w:rsidRPr="0080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новыми требованиям.</w:t>
      </w:r>
    </w:p>
    <w:p w:rsidR="008E5044" w:rsidRPr="0080033D" w:rsidRDefault="008E5044" w:rsidP="008E50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также предусматривает требование о закрытии (без переходного периода) производств с условиями труда на рабочих местах, относящимися к 4 классу опасности (шахты, производства с повышенным уровнем шума и пр.) или </w:t>
      </w:r>
      <w:r w:rsidR="00E62231"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недопустимым уровнем профессионального риска. При этом порядок оценки уровня профессионального риска и классификации опасностей предлагается урегулировать подзаконными нормативными актами, содержание которых </w:t>
      </w:r>
      <w:r w:rsidR="00893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материалах к проекту </w:t>
      </w:r>
      <w:r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раскрывается. </w:t>
      </w:r>
    </w:p>
    <w:p w:rsidR="008E5044" w:rsidRPr="0080033D" w:rsidRDefault="008E5044" w:rsidP="008E50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Палата считает, что законопроект не может быть поддержан в представленной редакции и требует существенной доработки с учетом:</w:t>
      </w:r>
    </w:p>
    <w:p w:rsidR="008E5044" w:rsidRPr="0080033D" w:rsidRDefault="008E5044" w:rsidP="008E50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установления продолжительного переходного периода для вступления закона в силу, </w:t>
      </w:r>
      <w:r w:rsidR="00893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который даст </w:t>
      </w:r>
      <w:r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предприятиям </w:t>
      </w:r>
      <w:r w:rsidR="00893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</w:t>
      </w:r>
      <w:r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улучшение условий труда на опасных рабочих местах</w:t>
      </w:r>
      <w:r w:rsidR="00642C9C"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организацию управления профессиональными рисками</w:t>
      </w:r>
      <w:r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E5044" w:rsidRPr="0080033D" w:rsidRDefault="008E5044" w:rsidP="008E50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отказа от обязательного вступления в СРО индивидуальных предпринимателей и организаций, оказывающих услуги в област</w:t>
      </w:r>
      <w:r w:rsidR="00893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охраны труда. Это</w:t>
      </w:r>
      <w:r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привести к монополизации рынка и повышению стоимости </w:t>
      </w:r>
      <w:r w:rsidR="00642C9C"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 </w:t>
      </w:r>
      <w:r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бизнеса; </w:t>
      </w:r>
    </w:p>
    <w:p w:rsidR="00893B62" w:rsidRDefault="008E5044" w:rsidP="00893B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отказа от учета и обязательного расследовани</w:t>
      </w:r>
      <w:r w:rsidR="00893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микротравм и микроповреждений. В</w:t>
      </w:r>
      <w:r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этого </w:t>
      </w:r>
      <w:r w:rsidR="00893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Палата предлагает </w:t>
      </w:r>
      <w:r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предусмотреть их регистрацию работодателем в произвольной</w:t>
      </w:r>
      <w:r w:rsidR="00893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форме по обращениям работников.</w:t>
      </w:r>
    </w:p>
    <w:p w:rsidR="008E5044" w:rsidRPr="0080033D" w:rsidRDefault="00893B62" w:rsidP="00893B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ТПП РФ считает нецелесообразным</w:t>
      </w:r>
      <w:r w:rsidR="008E5044"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устанавливать обязанность для работодателей с численностью работников свыше 15 человек по соз</w:t>
      </w:r>
      <w:r w:rsidR="0056669B" w:rsidRPr="0080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данию комиссий по охране труда.</w:t>
      </w:r>
    </w:p>
    <w:p w:rsidR="00B43DFD" w:rsidRPr="0080033D" w:rsidRDefault="00B43DFD" w:rsidP="008003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4259" w:rsidRPr="0080033D" w:rsidRDefault="00244259" w:rsidP="00244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3D">
        <w:rPr>
          <w:rFonts w:ascii="Times New Roman" w:hAnsi="Times New Roman" w:cs="Times New Roman"/>
          <w:b/>
          <w:sz w:val="28"/>
          <w:szCs w:val="28"/>
        </w:rPr>
        <w:t>Управлять корпорацией нужно разумно</w:t>
      </w:r>
    </w:p>
    <w:p w:rsidR="00244259" w:rsidRPr="0080033D" w:rsidRDefault="00244259" w:rsidP="00244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259" w:rsidRPr="0080033D" w:rsidRDefault="00244259" w:rsidP="00566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 xml:space="preserve">Минэкономразвития России </w:t>
      </w:r>
      <w:r w:rsidR="00893B62">
        <w:rPr>
          <w:rFonts w:ascii="Times New Roman" w:hAnsi="Times New Roman" w:cs="Times New Roman"/>
          <w:sz w:val="28"/>
          <w:szCs w:val="28"/>
        </w:rPr>
        <w:t xml:space="preserve"> в июле-августе продолжило</w:t>
      </w:r>
      <w:r w:rsidRPr="0080033D">
        <w:rPr>
          <w:rFonts w:ascii="Times New Roman" w:hAnsi="Times New Roman" w:cs="Times New Roman"/>
          <w:sz w:val="28"/>
          <w:szCs w:val="28"/>
        </w:rPr>
        <w:t xml:space="preserve"> разработку правовых механизмов управления коммерческими корпорациями, в частности, проекта федерального закона</w:t>
      </w:r>
      <w:r w:rsidR="00BD71E3" w:rsidRPr="0080033D">
        <w:rPr>
          <w:rFonts w:ascii="Times New Roman" w:hAnsi="Times New Roman" w:cs="Times New Roman"/>
          <w:sz w:val="28"/>
          <w:szCs w:val="28"/>
        </w:rPr>
        <w:t>, который вносит изменения в Федеральный закон «Об акционерных обществах» и Федеральный закон «Об обществах с ограниченной ответственностью» в части совершенствования норм о корпоративном управлении</w:t>
      </w:r>
      <w:r w:rsidRPr="0080033D">
        <w:rPr>
          <w:rFonts w:ascii="Times New Roman" w:hAnsi="Times New Roman" w:cs="Times New Roman"/>
          <w:sz w:val="28"/>
          <w:szCs w:val="28"/>
        </w:rPr>
        <w:t>.</w:t>
      </w:r>
      <w:r w:rsidR="0056669B" w:rsidRPr="0080033D">
        <w:rPr>
          <w:rFonts w:ascii="Times New Roman" w:hAnsi="Times New Roman" w:cs="Times New Roman"/>
          <w:sz w:val="28"/>
          <w:szCs w:val="28"/>
        </w:rPr>
        <w:t xml:space="preserve"> </w:t>
      </w:r>
      <w:r w:rsidRPr="0080033D">
        <w:rPr>
          <w:rFonts w:ascii="Times New Roman" w:hAnsi="Times New Roman" w:cs="Times New Roman"/>
          <w:sz w:val="28"/>
          <w:szCs w:val="28"/>
        </w:rPr>
        <w:t xml:space="preserve">Наиболее спорными в законопроекте являются вопросы, связанные с заключением и содержанием корпоративного договора, поскольку </w:t>
      </w:r>
      <w:r w:rsidR="00893B62">
        <w:rPr>
          <w:rFonts w:ascii="Times New Roman" w:hAnsi="Times New Roman" w:cs="Times New Roman"/>
          <w:sz w:val="28"/>
          <w:szCs w:val="28"/>
        </w:rPr>
        <w:t xml:space="preserve">они не соответствуют </w:t>
      </w:r>
      <w:r w:rsidRPr="0080033D">
        <w:rPr>
          <w:rFonts w:ascii="Times New Roman" w:hAnsi="Times New Roman" w:cs="Times New Roman"/>
          <w:sz w:val="28"/>
          <w:szCs w:val="28"/>
        </w:rPr>
        <w:t>норм</w:t>
      </w:r>
      <w:r w:rsidR="00893B62">
        <w:rPr>
          <w:rFonts w:ascii="Times New Roman" w:hAnsi="Times New Roman" w:cs="Times New Roman"/>
          <w:sz w:val="28"/>
          <w:szCs w:val="28"/>
        </w:rPr>
        <w:t>ам</w:t>
      </w:r>
      <w:r w:rsidRPr="0080033D">
        <w:rPr>
          <w:rFonts w:ascii="Times New Roman" w:hAnsi="Times New Roman" w:cs="Times New Roman"/>
          <w:sz w:val="28"/>
          <w:szCs w:val="28"/>
        </w:rPr>
        <w:t xml:space="preserve"> Гражданского кодекса РФ.</w:t>
      </w:r>
    </w:p>
    <w:p w:rsidR="00244259" w:rsidRPr="0080033D" w:rsidRDefault="00244259" w:rsidP="00566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>Необходимость регулирования отношений в корпоративном договоре, а не только в уставе хозяйственного общества, обоснована. Договор предоставляет большую степень конфиденциальности, имеет обязательственный характер и упрощенный порядок внесения изменений. При этом корпоративный  договор порождает правовые последствия</w:t>
      </w:r>
      <w:r w:rsidR="0056669B" w:rsidRPr="0080033D">
        <w:rPr>
          <w:rFonts w:ascii="Times New Roman" w:hAnsi="Times New Roman" w:cs="Times New Roman"/>
          <w:sz w:val="28"/>
          <w:szCs w:val="28"/>
        </w:rPr>
        <w:t>,</w:t>
      </w:r>
      <w:r w:rsidRPr="0080033D">
        <w:rPr>
          <w:rFonts w:ascii="Times New Roman" w:hAnsi="Times New Roman" w:cs="Times New Roman"/>
          <w:sz w:val="28"/>
          <w:szCs w:val="28"/>
        </w:rPr>
        <w:t xml:space="preserve"> как для его участников, так и  для  корпорации в целом.</w:t>
      </w:r>
      <w:r w:rsidR="0056669B" w:rsidRPr="0080033D">
        <w:rPr>
          <w:rFonts w:ascii="Times New Roman" w:hAnsi="Times New Roman" w:cs="Times New Roman"/>
          <w:sz w:val="28"/>
          <w:szCs w:val="28"/>
        </w:rPr>
        <w:t xml:space="preserve"> </w:t>
      </w:r>
      <w:r w:rsidRPr="0080033D">
        <w:rPr>
          <w:rFonts w:ascii="Times New Roman" w:hAnsi="Times New Roman" w:cs="Times New Roman"/>
          <w:sz w:val="28"/>
          <w:szCs w:val="28"/>
        </w:rPr>
        <w:t>По мнению ТПП РФ, корпоративный договор должен быть актом, направленным на организацию и упорядочение использования акционерами корпоративных прав (прав голоса, имущественных прав и т.п.) в целях сохранения или разумного и цивилизованного перераспределения корпоративного контроля. Представляется, что положения проекта могут привести к прямо противоположному результату.</w:t>
      </w:r>
    </w:p>
    <w:p w:rsidR="00244259" w:rsidRPr="0080033D" w:rsidRDefault="00244259" w:rsidP="0024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 xml:space="preserve">Одно из замечаний Палаты по проекту относится к возможности включения в корпоративный договор условия о голосовании по указанию других лиц, в том числе не являющихся участниками хозяйственного общества. Голосование «определенным образом» или «продажа голосов» неизбежно приведет к нарушению принципов голосования в интересах общества и самодостаточности его органов управления. Фактически проект предоставляет третьему лицу неограниченное право определять поведение  участников  общества и влиять на принятие решений.   </w:t>
      </w:r>
    </w:p>
    <w:p w:rsidR="00244259" w:rsidRPr="0080033D" w:rsidRDefault="00244259" w:rsidP="0024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>Вместе с тем на практике участие в корпоративном  договоре  иных  лиц,   не   являющихся участникам</w:t>
      </w:r>
      <w:proofErr w:type="gramStart"/>
      <w:r w:rsidRPr="0080033D">
        <w:rPr>
          <w:rFonts w:ascii="Times New Roman" w:hAnsi="Times New Roman" w:cs="Times New Roman"/>
          <w:sz w:val="28"/>
          <w:szCs w:val="28"/>
        </w:rPr>
        <w:t>и АО и</w:t>
      </w:r>
      <w:proofErr w:type="gramEnd"/>
      <w:r w:rsidRPr="0080033D">
        <w:rPr>
          <w:rFonts w:ascii="Times New Roman" w:hAnsi="Times New Roman" w:cs="Times New Roman"/>
          <w:sz w:val="28"/>
          <w:szCs w:val="28"/>
        </w:rPr>
        <w:t>ли ООО</w:t>
      </w:r>
      <w:r w:rsidR="00E9488A">
        <w:rPr>
          <w:rFonts w:ascii="Times New Roman" w:hAnsi="Times New Roman" w:cs="Times New Roman"/>
          <w:sz w:val="28"/>
          <w:szCs w:val="28"/>
        </w:rPr>
        <w:t>,</w:t>
      </w:r>
      <w:r w:rsidRPr="0080033D">
        <w:rPr>
          <w:rFonts w:ascii="Times New Roman" w:hAnsi="Times New Roman" w:cs="Times New Roman"/>
          <w:sz w:val="28"/>
          <w:szCs w:val="28"/>
        </w:rPr>
        <w:t xml:space="preserve"> иногда целесообразно. Это случаи, когда общество привлекает существенные кредитные ресурсы, сравнимые со стоимостью всех его активов. Поэтому у кредитора (как правило, коммерческого банка) есть вполне легитимный  обоснованный интерес  обеспечить себя правом влиять на принятие  участниками  ряда  ключевых решений,  влияющих на судьбу корпорации. Например, права блокировать принятие решения о реорганизации, ликвидации корпорации, совершении одной или нескольких сделок, </w:t>
      </w:r>
      <w:r w:rsidRPr="0080033D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направленных на отчуждение  всех  или основной  части  активов  корпорации. В подобных случаях может быть востребован механизм корпоративного договора, дающий право голосования по отдельным   вопросам "неучастникам" корпорации или допускающий непропорциональное распределение голосов между существующими участниками. </w:t>
      </w:r>
    </w:p>
    <w:p w:rsidR="00244259" w:rsidRPr="0080033D" w:rsidRDefault="00244259" w:rsidP="0024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>Именно в таких случаях возможность участвовать в корпоративном договоре третьим лицам может быть предоставлена. Но только при  условии, что у таких лиц имеется охраняемый законом интерес, для защиты которого лицо присоединяется к договору.</w:t>
      </w:r>
    </w:p>
    <w:p w:rsidR="00893B62" w:rsidRDefault="00893B62" w:rsidP="0024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предложения </w:t>
      </w:r>
      <w:r w:rsidR="00244259" w:rsidRPr="0080033D">
        <w:rPr>
          <w:rFonts w:ascii="Times New Roman" w:hAnsi="Times New Roman" w:cs="Times New Roman"/>
          <w:sz w:val="28"/>
          <w:szCs w:val="28"/>
        </w:rPr>
        <w:t xml:space="preserve">ТПП РФ направила </w:t>
      </w:r>
      <w:r>
        <w:rPr>
          <w:rFonts w:ascii="Times New Roman" w:hAnsi="Times New Roman" w:cs="Times New Roman"/>
          <w:sz w:val="28"/>
          <w:szCs w:val="28"/>
        </w:rPr>
        <w:t>в адрес разработчика проекта закона.</w:t>
      </w:r>
    </w:p>
    <w:p w:rsidR="007B2405" w:rsidRPr="0080033D" w:rsidRDefault="007B2405" w:rsidP="005D3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405" w:rsidRPr="0080033D" w:rsidRDefault="007B2405" w:rsidP="005666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3D">
        <w:rPr>
          <w:rFonts w:ascii="Times New Roman" w:hAnsi="Times New Roman" w:cs="Times New Roman"/>
          <w:b/>
          <w:sz w:val="28"/>
          <w:szCs w:val="28"/>
        </w:rPr>
        <w:t>Возвращаемся к вопросу о трансграничном банкротстве</w:t>
      </w:r>
    </w:p>
    <w:p w:rsidR="0056669B" w:rsidRPr="0080033D" w:rsidRDefault="0056669B" w:rsidP="005666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405" w:rsidRPr="0080033D" w:rsidRDefault="007B2405" w:rsidP="007B2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>Несмотря на то, что трансграничные сделки, осложненные иностранным элементом, получают все большее распространение, законодательство о несостоятельности Российской Федерации указанные отношения  в полной мере не регулирует. Это влечет правовую неопределенность в ситуациях, когда в отношении должника, ведущего деятельность или имеющего активы в нескольких государствах, в одном из них или сразу в нескольких возбуждается производство по делу о банкротстве. В этой связи Правительство РФ вернулось к идее разработки и последующему принятию международной конвенции о несостоятельности (банкротстве) (далее – Конвенция).</w:t>
      </w:r>
    </w:p>
    <w:p w:rsidR="007B2405" w:rsidRPr="0080033D" w:rsidRDefault="007B2405" w:rsidP="007B2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 xml:space="preserve">ТПП РФ данную инициативу поддерживает. Во-первых, в условиях расширяющихся интеграции и внешнеэкономических связей между государствами, когда несостоятельный должник и кредиторы имеют разную национальную принадлежность либо имущество несостоятельного должника, на которое обращается взыскание кредиторов, находится в разных странах, различия национальных правовых систем являются серьезным препятствием для урегулирования указанных отношений. В некоторых случаях требования иностранных кредиторов не учитываются,  даже несмотря на то, что характер их требований может соответствовать требованиям национальных кредиторов первой очереди. </w:t>
      </w:r>
    </w:p>
    <w:p w:rsidR="007B2405" w:rsidRPr="0080033D" w:rsidRDefault="007B2405" w:rsidP="007B2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 xml:space="preserve">Во-вторых, отсутствие правовой базы в отдельных случаях порождает возможность для </w:t>
      </w:r>
      <w:r w:rsidR="00893B62">
        <w:rPr>
          <w:rFonts w:ascii="Times New Roman" w:hAnsi="Times New Roman" w:cs="Times New Roman"/>
          <w:sz w:val="28"/>
          <w:szCs w:val="28"/>
        </w:rPr>
        <w:t xml:space="preserve">проявления </w:t>
      </w:r>
      <w:r w:rsidRPr="0080033D">
        <w:rPr>
          <w:rFonts w:ascii="Times New Roman" w:hAnsi="Times New Roman" w:cs="Times New Roman"/>
          <w:sz w:val="28"/>
          <w:szCs w:val="28"/>
        </w:rPr>
        <w:t xml:space="preserve">недобросовестности отдельных предпринимателей. Так, схемы построения бизнеса, включающие транснациональные корпорации и офшорные компании, рассчитаны на то, чтобы банкротство одной из структур в одной стране не затронуло бизнес в другой стране. </w:t>
      </w:r>
    </w:p>
    <w:p w:rsidR="007B2405" w:rsidRPr="0080033D" w:rsidRDefault="007B2405" w:rsidP="007B2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 xml:space="preserve">В-третьих, нуждаются в нормативной регламентации критерии определения подсудности дел о трансграничной несостоятельности, признания и приведения в исполнение определений судов, относящихся к различной государственной юрисдикции, о принятии обеспечительных мер (например, наложение ареста на имущество или активы). </w:t>
      </w:r>
    </w:p>
    <w:p w:rsidR="007B2405" w:rsidRPr="0080033D" w:rsidRDefault="007B2405" w:rsidP="007B2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lastRenderedPageBreak/>
        <w:t>В-четве</w:t>
      </w:r>
      <w:r w:rsidR="00893B62">
        <w:rPr>
          <w:rFonts w:ascii="Times New Roman" w:hAnsi="Times New Roman" w:cs="Times New Roman"/>
          <w:sz w:val="28"/>
          <w:szCs w:val="28"/>
        </w:rPr>
        <w:t>ртых, в настоящее время действуе</w:t>
      </w:r>
      <w:r w:rsidRPr="0080033D">
        <w:rPr>
          <w:rFonts w:ascii="Times New Roman" w:hAnsi="Times New Roman" w:cs="Times New Roman"/>
          <w:sz w:val="28"/>
          <w:szCs w:val="28"/>
        </w:rPr>
        <w:t xml:space="preserve">т несколько международных правовых актов, которые регулируют отношения банкротства, осложненные иностранным элементом, но  исчерпывающим образом общеобязательные механизмы трансграничного банкротства они не выработали.   </w:t>
      </w:r>
    </w:p>
    <w:p w:rsidR="007B2405" w:rsidRPr="0080033D" w:rsidRDefault="00486FE0" w:rsidP="007B2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национальные</w:t>
      </w:r>
      <w:r w:rsidR="007B2405" w:rsidRPr="0080033D">
        <w:rPr>
          <w:rFonts w:ascii="Times New Roman" w:hAnsi="Times New Roman" w:cs="Times New Roman"/>
          <w:sz w:val="28"/>
          <w:szCs w:val="28"/>
        </w:rPr>
        <w:t xml:space="preserve"> законодательства разных стран </w:t>
      </w:r>
      <w:r>
        <w:rPr>
          <w:rFonts w:ascii="Times New Roman" w:hAnsi="Times New Roman" w:cs="Times New Roman"/>
          <w:sz w:val="28"/>
          <w:szCs w:val="28"/>
        </w:rPr>
        <w:t>не содержали положения,</w:t>
      </w:r>
      <w:r w:rsidR="007B2405" w:rsidRPr="0080033D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рдинально отличающиеся друг от друга</w:t>
      </w:r>
      <w:r w:rsidR="007B2405" w:rsidRPr="0080033D">
        <w:rPr>
          <w:rFonts w:ascii="Times New Roman" w:hAnsi="Times New Roman" w:cs="Times New Roman"/>
          <w:sz w:val="28"/>
          <w:szCs w:val="28"/>
        </w:rPr>
        <w:t>, ТПП РФ предложила</w:t>
      </w:r>
      <w:r>
        <w:rPr>
          <w:rFonts w:ascii="Times New Roman" w:hAnsi="Times New Roman" w:cs="Times New Roman"/>
          <w:sz w:val="28"/>
          <w:szCs w:val="28"/>
        </w:rPr>
        <w:t xml:space="preserve"> включить в Конвенцию</w:t>
      </w:r>
      <w:r w:rsidR="007B2405" w:rsidRPr="0080033D">
        <w:rPr>
          <w:rFonts w:ascii="Times New Roman" w:hAnsi="Times New Roman" w:cs="Times New Roman"/>
          <w:sz w:val="28"/>
          <w:szCs w:val="28"/>
        </w:rPr>
        <w:t xml:space="preserve"> критерии определения надлежащей юрисдикции, в том числе, «центра основных интересов должника». При этом рассмотрение дела о банкротстве</w:t>
      </w:r>
      <w:r w:rsidR="005C6E61"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7B2405" w:rsidRPr="0080033D">
        <w:rPr>
          <w:rFonts w:ascii="Times New Roman" w:hAnsi="Times New Roman" w:cs="Times New Roman"/>
          <w:sz w:val="28"/>
          <w:szCs w:val="28"/>
        </w:rPr>
        <w:t xml:space="preserve"> осуществляться по праву страны, в которой находится центр основных интересов должника. Также Палата считает необходимым определить принцип параллельных производств, который заключается в наличии основного и неосновного производств по делу о банкротстве. Основное производство</w:t>
      </w:r>
      <w:r w:rsidR="00893B62">
        <w:rPr>
          <w:rFonts w:ascii="Times New Roman" w:hAnsi="Times New Roman" w:cs="Times New Roman"/>
          <w:sz w:val="28"/>
          <w:szCs w:val="28"/>
        </w:rPr>
        <w:t xml:space="preserve"> охватит все имущество должника</w:t>
      </w:r>
      <w:r w:rsidR="007B2405" w:rsidRPr="0080033D">
        <w:rPr>
          <w:rFonts w:ascii="Times New Roman" w:hAnsi="Times New Roman" w:cs="Times New Roman"/>
          <w:sz w:val="28"/>
          <w:szCs w:val="28"/>
        </w:rPr>
        <w:t xml:space="preserve"> вне зависимости от места его нахождения. Неосновное производство может быть открыто в стране, где находится постоянное представительство или часть имущества должника.</w:t>
      </w:r>
    </w:p>
    <w:p w:rsidR="007B2405" w:rsidRPr="0080033D" w:rsidRDefault="007B2405" w:rsidP="007B2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>Предложения ТПП РФ по содержанию проекта международной кон</w:t>
      </w:r>
      <w:r w:rsidR="009A26D8">
        <w:rPr>
          <w:rFonts w:ascii="Times New Roman" w:hAnsi="Times New Roman" w:cs="Times New Roman"/>
          <w:sz w:val="28"/>
          <w:szCs w:val="28"/>
        </w:rPr>
        <w:t xml:space="preserve">венции о несостоятельности </w:t>
      </w:r>
      <w:r w:rsidRPr="0080033D">
        <w:rPr>
          <w:rFonts w:ascii="Times New Roman" w:hAnsi="Times New Roman" w:cs="Times New Roman"/>
          <w:sz w:val="28"/>
          <w:szCs w:val="28"/>
        </w:rPr>
        <w:t>направлены в Минэкономраз</w:t>
      </w:r>
      <w:r w:rsidR="00E8204C" w:rsidRPr="0080033D">
        <w:rPr>
          <w:rFonts w:ascii="Times New Roman" w:hAnsi="Times New Roman" w:cs="Times New Roman"/>
          <w:sz w:val="28"/>
          <w:szCs w:val="28"/>
        </w:rPr>
        <w:t>в</w:t>
      </w:r>
      <w:r w:rsidRPr="0080033D">
        <w:rPr>
          <w:rFonts w:ascii="Times New Roman" w:hAnsi="Times New Roman" w:cs="Times New Roman"/>
          <w:sz w:val="28"/>
          <w:szCs w:val="28"/>
        </w:rPr>
        <w:t xml:space="preserve">ития России. </w:t>
      </w:r>
    </w:p>
    <w:p w:rsidR="00E00AEA" w:rsidRPr="0080033D" w:rsidRDefault="00E00AEA" w:rsidP="002F7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33D" w:rsidRPr="0080033D" w:rsidRDefault="009A26D8" w:rsidP="0080033D">
      <w:pPr>
        <w:widowControl w:val="0"/>
        <w:spacing w:after="6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Палата предлагает изменить порядок </w:t>
      </w:r>
      <w:r w:rsidR="0080033D" w:rsidRPr="0080033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определени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я</w:t>
      </w:r>
      <w:r w:rsidR="0080033D" w:rsidRPr="0080033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крупного и особо крупного размера недоимки </w:t>
      </w:r>
    </w:p>
    <w:p w:rsidR="0080033D" w:rsidRPr="0080033D" w:rsidRDefault="009A26D8" w:rsidP="0080033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Соответствующие предложения направлены в ФНС России. Так, </w:t>
      </w:r>
      <w:r w:rsidR="00800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Палатой предложено </w:t>
      </w:r>
      <w:r w:rsidR="0080033D" w:rsidRPr="00800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отказаться от определения размера уклонения в твердых суммах и ввести исключительно процентное соотношение общей суммы неуплаченных налогов к общей сумме налогов, подлежащих уплате.  Такой подход позволит уже при решении вопроса о возбуждении уголовного дела объективно учитывать масштаб бизнеса, а также участие конкретного налогоплательщика в наполнении бюджета.</w:t>
      </w:r>
    </w:p>
    <w:p w:rsidR="0080033D" w:rsidRPr="0080033D" w:rsidRDefault="0080033D" w:rsidP="0080033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0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Предлагается установить, что «крупным размером признается сумма недоимок, превышающая 10 процентов общей суммы налогов, уплаченных за три года, предшествующие году, в котором выявлено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00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уклонение, но не менее одного миллиона рублей, а особо крупным – превышающая 50 процентов общей суммы налогов, уплаченных за три года, предшествующих году, в котором выявлено уклонение, но не менее пяти миллионов рублей».</w:t>
      </w:r>
    </w:p>
    <w:p w:rsidR="0080033D" w:rsidRPr="0080033D" w:rsidRDefault="0080033D" w:rsidP="0080033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0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Десятипроцентное пороговое значение крупного размера неуплаченных налогов коррелирует с определением грубого нарушения правил ведения бухгалтерского учета и бухгалтерской отчетности</w:t>
      </w:r>
      <w:r w:rsidR="00B80F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800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как искажения сумм начисленных налогов не менее чем на 10% или искажения любой статьи (строки) формы бухгалтерской отчетности не менее чем на 10% (ст. 15.11 КоАП РФ).</w:t>
      </w:r>
    </w:p>
    <w:p w:rsidR="0080033D" w:rsidRPr="0080033D" w:rsidRDefault="0080033D" w:rsidP="0080033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0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Пороговое значение неуплаченных налогов в любом случае не может быть меньше, чем принятые количественные характеристики уровня существенности в законодательстве о бухгалтерском учете и в международной практике аудита (пять – десять процентов). Например, в налоговом законодательстве имеются примеры использования пятипроцентного критерия существенности (п. 4 ст. 170 НК РФ).</w:t>
      </w:r>
    </w:p>
    <w:p w:rsidR="0080033D" w:rsidRPr="0080033D" w:rsidRDefault="0080033D" w:rsidP="0080033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0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Особо крупный размер уклонения предлагается установить с учетом соотношения к крупному размеру как 1:5, существовавшего до внесения изменений в ст. 199 УК РФ в декабре 2003 г. (1000 и 5000 минимальных размеров оплаты труда). </w:t>
      </w:r>
    </w:p>
    <w:p w:rsidR="0080033D" w:rsidRPr="0080033D" w:rsidRDefault="0080033D" w:rsidP="0080033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0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Признание особо крупным размером более половины неуплаченных налогов оправдано и тем, что суммовая разница между десятью или двадцатью процентами может быть не столь существенной. </w:t>
      </w:r>
    </w:p>
    <w:p w:rsidR="0080033D" w:rsidRPr="0080033D" w:rsidRDefault="0080033D" w:rsidP="0080033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0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качестве базы (знаменателя дроби) можно было бы взять сумму налогов, уплаченных налогоплательщиком в предыдущие три года. Такая информация становится доступной благодаря принятым изменениям в ст. 102 НК РФ, можно также установить обязанность налогового органа выдавать такую справку по запросу следственного органа. В этом случае расчет «налоговой подушки безопасности» для бизнеса становится возможен заранее. </w:t>
      </w:r>
    </w:p>
    <w:p w:rsidR="0080033D" w:rsidRPr="0080033D" w:rsidRDefault="0080033D" w:rsidP="0080033D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уклонение от уплаты налогов в меньших размерах, т.е. за уклонение от уплаты налогов, если  такое деяние не влечет уголовной ответственности, может быть установлена как «административная» в КоАП РФ. </w:t>
      </w:r>
    </w:p>
    <w:p w:rsidR="0080033D" w:rsidRDefault="0080033D" w:rsidP="008003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876" w:rsidRPr="0080033D" w:rsidRDefault="00B10876" w:rsidP="00B10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3D">
        <w:rPr>
          <w:rFonts w:ascii="Times New Roman" w:hAnsi="Times New Roman" w:cs="Times New Roman"/>
          <w:b/>
          <w:sz w:val="28"/>
          <w:szCs w:val="28"/>
        </w:rPr>
        <w:t>В Евразийском экономическом союзе будет принят Таможенный кодекс</w:t>
      </w:r>
    </w:p>
    <w:p w:rsidR="00B10876" w:rsidRPr="0080033D" w:rsidRDefault="00B10876" w:rsidP="00B1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876" w:rsidRPr="0080033D" w:rsidRDefault="00B10876" w:rsidP="00B1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>Распоряжением Евразийского межправительственного совета от 12 августа 2016 года № 13 проект Договора о Таможенном кодексе Евразийского экономического союза направлен на внутригосударственное согласование его членами.</w:t>
      </w:r>
    </w:p>
    <w:p w:rsidR="00B10876" w:rsidRPr="0080033D" w:rsidRDefault="00B10876" w:rsidP="00B1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>В приложениях к проекту Договора приводятся:</w:t>
      </w:r>
    </w:p>
    <w:p w:rsidR="00B10876" w:rsidRPr="0080033D" w:rsidRDefault="00B10876" w:rsidP="00B1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>Таможенный кодекс Евразийского экономического союза;</w:t>
      </w:r>
    </w:p>
    <w:p w:rsidR="00B10876" w:rsidRPr="0080033D" w:rsidRDefault="00B10876" w:rsidP="00B1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>Перечень международных договоров, входящих в право Евразийского экономического союза, прекращающих действие в связи с вступлением в силу Договора о Таможенном кодексе Евразийского экономического союза;</w:t>
      </w:r>
    </w:p>
    <w:p w:rsidR="00B10876" w:rsidRPr="0080033D" w:rsidRDefault="00B10876" w:rsidP="00B1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>Перечень положений международных договоров, входящих в право Евразийского экономического союза, которые признаются утратившими силу в связи с вступлением в силу Договора о Таможенном кодексе Евразийского экономического союза.</w:t>
      </w:r>
    </w:p>
    <w:p w:rsidR="00B10876" w:rsidRPr="0080033D" w:rsidRDefault="00B10876" w:rsidP="00B1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sz w:val="28"/>
          <w:szCs w:val="28"/>
        </w:rPr>
        <w:t>Проект Договора о Таможенном кодексе Евразийского экономического союза предполагается к подписанию на заседании Высшего Евразийского экономического совета в декабре 2016 года.</w:t>
      </w:r>
    </w:p>
    <w:p w:rsidR="00B10876" w:rsidRPr="0080033D" w:rsidRDefault="00B10876" w:rsidP="00B108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669B" w:rsidRPr="0080033D" w:rsidRDefault="0056669B" w:rsidP="00566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033D">
        <w:rPr>
          <w:rFonts w:ascii="Times New Roman" w:eastAsia="Calibri" w:hAnsi="Times New Roman" w:cs="Times New Roman"/>
          <w:b/>
          <w:sz w:val="28"/>
          <w:szCs w:val="28"/>
        </w:rPr>
        <w:t>ТПП России продолжит мониторинг правоприменения в 2017 году</w:t>
      </w:r>
    </w:p>
    <w:p w:rsidR="0056669B" w:rsidRPr="0080033D" w:rsidRDefault="0056669B" w:rsidP="005666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69B" w:rsidRPr="0080033D" w:rsidRDefault="0056669B" w:rsidP="005666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3D">
        <w:rPr>
          <w:rFonts w:ascii="Times New Roman" w:eastAsia="Calibri" w:hAnsi="Times New Roman" w:cs="Times New Roman"/>
          <w:sz w:val="28"/>
          <w:szCs w:val="28"/>
        </w:rPr>
        <w:t>Распоряжением Правительства РФ от 19 августа 2016 года № 1751-р утвержден План мониторинга правоприменения в Российской Федерации на 2017 год.</w:t>
      </w:r>
    </w:p>
    <w:p w:rsidR="0056669B" w:rsidRPr="0080033D" w:rsidRDefault="0056669B" w:rsidP="005666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3D">
        <w:rPr>
          <w:rFonts w:ascii="Times New Roman" w:eastAsia="Calibri" w:hAnsi="Times New Roman" w:cs="Times New Roman"/>
          <w:sz w:val="28"/>
          <w:szCs w:val="28"/>
        </w:rPr>
        <w:t>В соответствии с Планом в 2017 году будет проводиться мониторинг правоприменения в сферах:</w:t>
      </w:r>
    </w:p>
    <w:p w:rsidR="0056669B" w:rsidRPr="0080033D" w:rsidRDefault="0056669B" w:rsidP="005666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3D">
        <w:rPr>
          <w:rFonts w:ascii="Times New Roman" w:eastAsia="Calibri" w:hAnsi="Times New Roman" w:cs="Times New Roman"/>
          <w:sz w:val="28"/>
          <w:szCs w:val="28"/>
        </w:rPr>
        <w:t>- противодействия коррупции;</w:t>
      </w:r>
    </w:p>
    <w:p w:rsidR="0056669B" w:rsidRPr="0080033D" w:rsidRDefault="0056669B" w:rsidP="005666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3D">
        <w:rPr>
          <w:rFonts w:ascii="Times New Roman" w:eastAsia="Calibri" w:hAnsi="Times New Roman" w:cs="Times New Roman"/>
          <w:sz w:val="28"/>
          <w:szCs w:val="28"/>
        </w:rPr>
        <w:lastRenderedPageBreak/>
        <w:t>- оказания гражданам бесплатной юридической помощи;</w:t>
      </w:r>
    </w:p>
    <w:p w:rsidR="0056669B" w:rsidRPr="0080033D" w:rsidRDefault="0056669B" w:rsidP="005666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3D">
        <w:rPr>
          <w:rFonts w:ascii="Times New Roman" w:eastAsia="Calibri" w:hAnsi="Times New Roman" w:cs="Times New Roman"/>
          <w:sz w:val="28"/>
          <w:szCs w:val="28"/>
        </w:rPr>
        <w:t>- безопасности функционирования организаций оборонно-промышленного, ядерного, химического, топливно-энергетического комплексов страны, объектов жизнеобеспечения населения, транспортной инфраструктуры, других критически важных и потенциально опасных объектов;</w:t>
      </w:r>
    </w:p>
    <w:p w:rsidR="0056669B" w:rsidRPr="0080033D" w:rsidRDefault="0056669B" w:rsidP="005666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3D">
        <w:rPr>
          <w:rFonts w:ascii="Times New Roman" w:eastAsia="Calibri" w:hAnsi="Times New Roman" w:cs="Times New Roman"/>
          <w:sz w:val="28"/>
          <w:szCs w:val="28"/>
        </w:rPr>
        <w:t>- лекарственного обеспечения населения;</w:t>
      </w:r>
    </w:p>
    <w:p w:rsidR="0056669B" w:rsidRPr="0080033D" w:rsidRDefault="0056669B" w:rsidP="0056669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3D">
        <w:rPr>
          <w:rFonts w:ascii="Times New Roman" w:eastAsia="Calibri" w:hAnsi="Times New Roman" w:cs="Times New Roman"/>
          <w:sz w:val="28"/>
          <w:szCs w:val="28"/>
        </w:rPr>
        <w:t>- государственной системы лицензирования пользования недрами;</w:t>
      </w:r>
    </w:p>
    <w:p w:rsidR="0056669B" w:rsidRPr="0080033D" w:rsidRDefault="0056669B" w:rsidP="0056669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3D">
        <w:rPr>
          <w:rFonts w:ascii="Times New Roman" w:eastAsia="Calibri" w:hAnsi="Times New Roman" w:cs="Times New Roman"/>
          <w:sz w:val="28"/>
          <w:szCs w:val="28"/>
        </w:rPr>
        <w:t>- обращения с отходами производства и потребления;</w:t>
      </w:r>
    </w:p>
    <w:p w:rsidR="0056669B" w:rsidRPr="0080033D" w:rsidRDefault="0056669B" w:rsidP="005666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3D">
        <w:rPr>
          <w:rFonts w:ascii="Times New Roman" w:eastAsia="Calibri" w:hAnsi="Times New Roman" w:cs="Times New Roman"/>
          <w:sz w:val="28"/>
          <w:szCs w:val="28"/>
        </w:rPr>
        <w:t>-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законодательства;</w:t>
      </w:r>
    </w:p>
    <w:p w:rsidR="0056669B" w:rsidRPr="0080033D" w:rsidRDefault="0056669B" w:rsidP="005666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3D">
        <w:rPr>
          <w:rFonts w:ascii="Times New Roman" w:eastAsia="Calibri" w:hAnsi="Times New Roman" w:cs="Times New Roman"/>
          <w:sz w:val="28"/>
          <w:szCs w:val="28"/>
        </w:rPr>
        <w:t>- негосударственных пенсионных фондов</w:t>
      </w:r>
      <w:r w:rsidR="009A26D8">
        <w:rPr>
          <w:rFonts w:ascii="Times New Roman" w:eastAsia="Calibri" w:hAnsi="Times New Roman" w:cs="Times New Roman"/>
          <w:sz w:val="28"/>
          <w:szCs w:val="28"/>
        </w:rPr>
        <w:t xml:space="preserve"> и др</w:t>
      </w:r>
      <w:r w:rsidRPr="008003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69B" w:rsidRPr="0080033D" w:rsidRDefault="0056669B" w:rsidP="005666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3D">
        <w:rPr>
          <w:rFonts w:ascii="Times New Roman" w:eastAsia="Calibri" w:hAnsi="Times New Roman" w:cs="Times New Roman"/>
          <w:sz w:val="28"/>
          <w:szCs w:val="28"/>
        </w:rPr>
        <w:t xml:space="preserve">ТПП России с 2011 года активно участвует в процедуре мониторинга правоприменения и после утверждения </w:t>
      </w:r>
      <w:r w:rsidR="009A26D8">
        <w:rPr>
          <w:rFonts w:ascii="Times New Roman" w:eastAsia="Calibri" w:hAnsi="Times New Roman" w:cs="Times New Roman"/>
          <w:sz w:val="28"/>
          <w:szCs w:val="28"/>
        </w:rPr>
        <w:t xml:space="preserve">в октябре – ноябре текущего года </w:t>
      </w:r>
      <w:r w:rsidRPr="0080033D">
        <w:rPr>
          <w:rFonts w:ascii="Times New Roman" w:eastAsia="Calibri" w:hAnsi="Times New Roman" w:cs="Times New Roman"/>
          <w:sz w:val="28"/>
          <w:szCs w:val="28"/>
        </w:rPr>
        <w:t>собственного плана мониторинга (на основе предложений бизнеса, отраслевых департаментов и ряда позиций правительственного плана) продолжит в 2017 году такую работу.</w:t>
      </w:r>
    </w:p>
    <w:p w:rsidR="0056669B" w:rsidRPr="0080033D" w:rsidRDefault="0056669B" w:rsidP="005666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74A3" w:rsidRPr="0080033D" w:rsidRDefault="00751E5F" w:rsidP="000D33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033D">
        <w:rPr>
          <w:rFonts w:ascii="Times New Roman" w:eastAsia="Calibri" w:hAnsi="Times New Roman" w:cs="Times New Roman"/>
          <w:b/>
          <w:sz w:val="28"/>
          <w:szCs w:val="28"/>
        </w:rPr>
        <w:t>Коротко</w:t>
      </w:r>
    </w:p>
    <w:p w:rsidR="00800E1D" w:rsidRPr="00800E1D" w:rsidRDefault="00800E1D" w:rsidP="00E66A6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E1D">
        <w:rPr>
          <w:rFonts w:ascii="Times New Roman" w:eastAsia="Calibri" w:hAnsi="Times New Roman" w:cs="Times New Roman"/>
          <w:b/>
          <w:sz w:val="28"/>
          <w:szCs w:val="28"/>
        </w:rPr>
        <w:t xml:space="preserve">3 июля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законом №</w:t>
      </w:r>
      <w:r w:rsidRPr="00800E1D">
        <w:rPr>
          <w:rFonts w:ascii="Times New Roman" w:eastAsia="Calibri" w:hAnsi="Times New Roman" w:cs="Times New Roman"/>
          <w:sz w:val="28"/>
          <w:szCs w:val="28"/>
        </w:rPr>
        <w:t xml:space="preserve"> 264-ФЗ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800E1D">
        <w:rPr>
          <w:rFonts w:ascii="Times New Roman" w:eastAsia="Calibri" w:hAnsi="Times New Roman" w:cs="Times New Roman"/>
          <w:sz w:val="28"/>
          <w:szCs w:val="28"/>
        </w:rPr>
        <w:t>мягчены антимонопольные требования к отдельным категориям хозяйствующих субъектов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00E1D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00E1D">
        <w:rPr>
          <w:rFonts w:ascii="Times New Roman" w:eastAsia="Calibri" w:hAnsi="Times New Roman" w:cs="Times New Roman"/>
          <w:sz w:val="28"/>
          <w:szCs w:val="28"/>
        </w:rPr>
        <w:t xml:space="preserve"> частности, установлено, что не может быть признано доминирующим положение хозяйствующего субъекта, если </w:t>
      </w:r>
      <w:r w:rsidR="00B72DFF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800E1D">
        <w:rPr>
          <w:rFonts w:ascii="Times New Roman" w:eastAsia="Calibri" w:hAnsi="Times New Roman" w:cs="Times New Roman"/>
          <w:sz w:val="28"/>
          <w:szCs w:val="28"/>
        </w:rPr>
        <w:t>выручка от реализации товаров за последний календарный год не превышает 400 миллионов рублей (за исключением отдельных хозяйствующих субъектов, в том числе финансовых организаций, субъектов естественной монополии на товарном рынке, находящихся в состоянии естественной монополии).</w:t>
      </w:r>
      <w:r w:rsidR="00EA6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593" w:rsidRPr="00BC3A1D">
        <w:rPr>
          <w:rFonts w:ascii="Times New Roman" w:eastAsia="Calibri" w:hAnsi="Times New Roman" w:cs="Times New Roman"/>
          <w:sz w:val="28"/>
          <w:szCs w:val="28"/>
        </w:rPr>
        <w:t>Также уточнены основания проведения антимонопольным органом внеплановой выездной проверки в отношении субъекта малого предпринимательства, порядок исчисления срока давности привлечения к административной ответственности</w:t>
      </w:r>
      <w:r w:rsidR="00EA6593" w:rsidRPr="00EA6593">
        <w:rPr>
          <w:rFonts w:ascii="Times New Roman" w:eastAsia="Calibri" w:hAnsi="Times New Roman" w:cs="Times New Roman"/>
          <w:sz w:val="28"/>
          <w:szCs w:val="28"/>
        </w:rPr>
        <w:t xml:space="preserve"> за действия, приводящие к необоснованному завышению цены продукции по государственному оборонному заказу</w:t>
      </w:r>
      <w:r w:rsidR="00EA6593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:rsidR="00DC1393" w:rsidRDefault="00DC1393" w:rsidP="00E66A6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 июля </w:t>
      </w:r>
      <w:r w:rsidR="00BC3A1D" w:rsidRPr="00BC3A1D">
        <w:rPr>
          <w:rFonts w:ascii="Times New Roman" w:eastAsia="Calibri" w:hAnsi="Times New Roman" w:cs="Times New Roman"/>
          <w:sz w:val="28"/>
          <w:szCs w:val="28"/>
        </w:rPr>
        <w:t>Президентом РФ</w:t>
      </w:r>
      <w:r w:rsidR="00BC3A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C3A1D">
        <w:rPr>
          <w:rFonts w:ascii="Times New Roman" w:eastAsia="Calibri" w:hAnsi="Times New Roman" w:cs="Times New Roman"/>
          <w:sz w:val="28"/>
          <w:szCs w:val="28"/>
        </w:rPr>
        <w:t>подписан Федеральный закон № 265</w:t>
      </w:r>
      <w:r w:rsidRPr="00DC1393">
        <w:rPr>
          <w:rFonts w:ascii="Times New Roman" w:eastAsia="Calibri" w:hAnsi="Times New Roman" w:cs="Times New Roman"/>
          <w:sz w:val="28"/>
          <w:szCs w:val="28"/>
        </w:rPr>
        <w:t>, которым уточнен порядок предос</w:t>
      </w:r>
      <w:r w:rsidR="00BC3A1D">
        <w:rPr>
          <w:rFonts w:ascii="Times New Roman" w:eastAsia="Calibri" w:hAnsi="Times New Roman" w:cs="Times New Roman"/>
          <w:sz w:val="28"/>
          <w:szCs w:val="28"/>
        </w:rPr>
        <w:t>тавления в аренду субъектам малого и среднего бизнеса</w:t>
      </w:r>
      <w:r w:rsidRPr="00DC1393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и </w:t>
      </w:r>
      <w:r w:rsidR="00BC3A1D">
        <w:rPr>
          <w:rFonts w:ascii="Times New Roman" w:eastAsia="Calibri" w:hAnsi="Times New Roman" w:cs="Times New Roman"/>
          <w:sz w:val="28"/>
          <w:szCs w:val="28"/>
        </w:rPr>
        <w:t>муниципального имущества. Т</w:t>
      </w:r>
      <w:r w:rsidRPr="00DC1393">
        <w:rPr>
          <w:rFonts w:ascii="Times New Roman" w:eastAsia="Calibri" w:hAnsi="Times New Roman" w:cs="Times New Roman"/>
          <w:sz w:val="28"/>
          <w:szCs w:val="28"/>
        </w:rPr>
        <w:t>еперь органы государственной власти и органы местного самоуправления при заключении договора аренды, в том числе на новый срок, могут самостоятельно определять размер ставки арендной платы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указанных субъектов, а не </w:t>
      </w:r>
      <w:r w:rsidRPr="00DC1393">
        <w:rPr>
          <w:rFonts w:ascii="Times New Roman" w:eastAsia="Calibri" w:hAnsi="Times New Roman" w:cs="Times New Roman"/>
          <w:sz w:val="28"/>
          <w:szCs w:val="28"/>
        </w:rPr>
        <w:t>по результатам оценки рыночной стоимости объекта.</w:t>
      </w:r>
    </w:p>
    <w:p w:rsidR="00380533" w:rsidRDefault="00380533" w:rsidP="00E66A6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533">
        <w:rPr>
          <w:rFonts w:ascii="Times New Roman" w:eastAsia="Calibri" w:hAnsi="Times New Roman" w:cs="Times New Roman"/>
          <w:b/>
          <w:sz w:val="28"/>
          <w:szCs w:val="28"/>
        </w:rPr>
        <w:t>6 июля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275A" w:rsidRPr="008B275A">
        <w:rPr>
          <w:rFonts w:ascii="Times New Roman" w:eastAsia="Calibri" w:hAnsi="Times New Roman" w:cs="Times New Roman"/>
          <w:sz w:val="28"/>
          <w:szCs w:val="28"/>
        </w:rPr>
        <w:t xml:space="preserve">Президиум Верховного Суда </w:t>
      </w:r>
      <w:r w:rsidR="008B275A" w:rsidRPr="00085C5D">
        <w:rPr>
          <w:rFonts w:ascii="Times New Roman" w:eastAsia="Calibri" w:hAnsi="Times New Roman" w:cs="Times New Roman"/>
          <w:sz w:val="28"/>
          <w:szCs w:val="28"/>
        </w:rPr>
        <w:t>РФ</w:t>
      </w:r>
      <w:r w:rsidR="00085C5D">
        <w:rPr>
          <w:rFonts w:ascii="Times New Roman" w:eastAsia="Calibri" w:hAnsi="Times New Roman" w:cs="Times New Roman"/>
          <w:sz w:val="28"/>
          <w:szCs w:val="28"/>
        </w:rPr>
        <w:t xml:space="preserve"> в Обзоре </w:t>
      </w:r>
      <w:r w:rsidR="008B275A" w:rsidRPr="00085C5D">
        <w:rPr>
          <w:rFonts w:ascii="Times New Roman" w:eastAsia="Calibri" w:hAnsi="Times New Roman" w:cs="Times New Roman"/>
          <w:sz w:val="28"/>
          <w:szCs w:val="28"/>
        </w:rPr>
        <w:t>судебной практики</w:t>
      </w:r>
      <w:r w:rsidR="00085C5D" w:rsidRPr="00085C5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85C5D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разъяснил отдельные вопросы </w:t>
      </w:r>
      <w:bookmarkStart w:id="0" w:name="_GoBack"/>
      <w:bookmarkEnd w:id="0"/>
      <w:r w:rsidRPr="00380533">
        <w:rPr>
          <w:rFonts w:ascii="Times New Roman" w:eastAsia="Calibri" w:hAnsi="Times New Roman" w:cs="Times New Roman"/>
          <w:sz w:val="28"/>
          <w:szCs w:val="28"/>
        </w:rPr>
        <w:t>разрешения споров, возникающих из договорных, обязательственных отношений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иных отношений. Например, </w:t>
      </w:r>
      <w:r w:rsidRPr="00380533">
        <w:rPr>
          <w:rFonts w:ascii="Times New Roman" w:eastAsia="Calibri" w:hAnsi="Times New Roman" w:cs="Times New Roman"/>
          <w:sz w:val="28"/>
          <w:szCs w:val="28"/>
        </w:rPr>
        <w:t>в случае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80533">
        <w:rPr>
          <w:rFonts w:ascii="Times New Roman" w:eastAsia="Calibri" w:hAnsi="Times New Roman" w:cs="Times New Roman"/>
          <w:sz w:val="28"/>
          <w:szCs w:val="28"/>
        </w:rPr>
        <w:t xml:space="preserve"> когда в отношении поставки продукции, являющейся предметом конкурса на право заключения государственного контракта, установлен запрет на допуск товаров, </w:t>
      </w:r>
      <w:r w:rsidRPr="003805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происходящих из иностранных государств, участники конкурса обязаны представлять документы, подтверждающие </w:t>
      </w:r>
      <w:r w:rsidRPr="00BC3A1D">
        <w:rPr>
          <w:rFonts w:ascii="Times New Roman" w:eastAsia="Calibri" w:hAnsi="Times New Roman" w:cs="Times New Roman"/>
          <w:sz w:val="28"/>
          <w:szCs w:val="28"/>
        </w:rPr>
        <w:t xml:space="preserve">страну происхождения предлагаемых к поставке товаров. </w:t>
      </w:r>
    </w:p>
    <w:p w:rsidR="00DB103A" w:rsidRPr="0080033D" w:rsidRDefault="00DB103A" w:rsidP="009A26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714E91" w:rsidRPr="0080033D">
        <w:rPr>
          <w:rFonts w:ascii="Times New Roman" w:eastAsia="Calibri" w:hAnsi="Times New Roman" w:cs="Times New Roman"/>
          <w:b/>
          <w:sz w:val="28"/>
          <w:szCs w:val="28"/>
        </w:rPr>
        <w:t xml:space="preserve"> августа</w:t>
      </w:r>
      <w:r w:rsidRPr="00800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E91" w:rsidRPr="0080033D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80033D">
        <w:rPr>
          <w:rFonts w:ascii="Times New Roman" w:eastAsia="Calibri" w:hAnsi="Times New Roman" w:cs="Times New Roman"/>
          <w:sz w:val="28"/>
          <w:szCs w:val="28"/>
        </w:rPr>
        <w:t>м</w:t>
      </w:r>
      <w:r w:rsidR="00714E91" w:rsidRPr="0080033D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</w:t>
      </w:r>
      <w:r w:rsidRPr="0080033D">
        <w:rPr>
          <w:rFonts w:ascii="Times New Roman" w:hAnsi="Times New Roman" w:cs="Times New Roman"/>
          <w:sz w:val="28"/>
          <w:szCs w:val="28"/>
        </w:rPr>
        <w:t>№</w:t>
      </w:r>
      <w:r w:rsidR="00934F34" w:rsidRPr="0080033D">
        <w:rPr>
          <w:rFonts w:ascii="Times New Roman" w:hAnsi="Times New Roman" w:cs="Times New Roman"/>
          <w:sz w:val="28"/>
          <w:szCs w:val="28"/>
        </w:rPr>
        <w:t xml:space="preserve"> </w:t>
      </w:r>
      <w:r w:rsidRPr="0080033D">
        <w:rPr>
          <w:rFonts w:ascii="Times New Roman" w:hAnsi="Times New Roman" w:cs="Times New Roman"/>
          <w:sz w:val="28"/>
          <w:szCs w:val="28"/>
        </w:rPr>
        <w:t>806 утверждены Правила отнесения деятельности юридических лиц и индивидуальных предпринимателей и (или) используемых ими производственных объектов к определённой категории риска или определённому классу (категории) опасности.</w:t>
      </w:r>
      <w:r w:rsidR="00B10876" w:rsidRPr="0080033D">
        <w:rPr>
          <w:rFonts w:ascii="Times New Roman" w:hAnsi="Times New Roman" w:cs="Times New Roman"/>
          <w:sz w:val="28"/>
          <w:szCs w:val="28"/>
        </w:rPr>
        <w:t xml:space="preserve"> </w:t>
      </w:r>
      <w:r w:rsidRPr="0080033D">
        <w:rPr>
          <w:rFonts w:ascii="Times New Roman" w:hAnsi="Times New Roman" w:cs="Times New Roman"/>
          <w:sz w:val="28"/>
          <w:szCs w:val="28"/>
        </w:rPr>
        <w:t>В целях поэтапной отработки механизма перехода на риск-ориентированную модель при отдельных видах гос</w:t>
      </w:r>
      <w:r w:rsidR="009A26D8">
        <w:rPr>
          <w:rFonts w:ascii="Times New Roman" w:hAnsi="Times New Roman" w:cs="Times New Roman"/>
          <w:sz w:val="28"/>
          <w:szCs w:val="28"/>
        </w:rPr>
        <w:t xml:space="preserve">ударственного </w:t>
      </w:r>
      <w:r w:rsidRPr="0080033D">
        <w:rPr>
          <w:rFonts w:ascii="Times New Roman" w:hAnsi="Times New Roman" w:cs="Times New Roman"/>
          <w:sz w:val="28"/>
          <w:szCs w:val="28"/>
        </w:rPr>
        <w:t>контроля определён перечень видов государственного контроля (надзора), при которых такой подход будет применяться с 1 января 2017 года. В этот перечень включены:</w:t>
      </w:r>
      <w:r w:rsidR="00B10876" w:rsidRPr="0080033D">
        <w:rPr>
          <w:rFonts w:ascii="Times New Roman" w:hAnsi="Times New Roman" w:cs="Times New Roman"/>
          <w:sz w:val="28"/>
          <w:szCs w:val="28"/>
        </w:rPr>
        <w:t xml:space="preserve"> </w:t>
      </w:r>
      <w:r w:rsidRPr="0080033D">
        <w:rPr>
          <w:rFonts w:ascii="Times New Roman" w:hAnsi="Times New Roman" w:cs="Times New Roman"/>
          <w:sz w:val="28"/>
          <w:szCs w:val="28"/>
        </w:rPr>
        <w:t>федеральный государственный надзор в сфере связи;</w:t>
      </w:r>
      <w:r w:rsidR="009A26D8">
        <w:rPr>
          <w:rFonts w:ascii="Times New Roman" w:hAnsi="Times New Roman" w:cs="Times New Roman"/>
          <w:sz w:val="28"/>
          <w:szCs w:val="28"/>
        </w:rPr>
        <w:t xml:space="preserve"> </w:t>
      </w:r>
      <w:r w:rsidRPr="0080033D">
        <w:rPr>
          <w:rFonts w:ascii="Times New Roman" w:hAnsi="Times New Roman" w:cs="Times New Roman"/>
          <w:sz w:val="28"/>
          <w:szCs w:val="28"/>
        </w:rPr>
        <w:t>федеральный государственный санитарно-эпидемиологический надзор, который проводится Роспотребнадзором и Федеральным медико-биологическим агентством;</w:t>
      </w:r>
      <w:r w:rsidR="00B10876" w:rsidRPr="0080033D">
        <w:rPr>
          <w:rFonts w:ascii="Times New Roman" w:hAnsi="Times New Roman" w:cs="Times New Roman"/>
          <w:sz w:val="28"/>
          <w:szCs w:val="28"/>
        </w:rPr>
        <w:t xml:space="preserve"> </w:t>
      </w:r>
      <w:r w:rsidRPr="0080033D">
        <w:rPr>
          <w:rFonts w:ascii="Times New Roman" w:hAnsi="Times New Roman" w:cs="Times New Roman"/>
          <w:sz w:val="28"/>
          <w:szCs w:val="28"/>
        </w:rPr>
        <w:t>федеральный государственный пожарный надзор</w:t>
      </w:r>
      <w:r w:rsidR="00B10876" w:rsidRPr="0080033D">
        <w:rPr>
          <w:rFonts w:ascii="Times New Roman" w:hAnsi="Times New Roman" w:cs="Times New Roman"/>
          <w:sz w:val="28"/>
          <w:szCs w:val="28"/>
        </w:rPr>
        <w:t>.</w:t>
      </w:r>
    </w:p>
    <w:p w:rsidR="00CD2F66" w:rsidRPr="0080033D" w:rsidRDefault="00CD2F66" w:rsidP="00CD2F6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3D">
        <w:rPr>
          <w:rFonts w:ascii="Times New Roman" w:eastAsia="Calibri" w:hAnsi="Times New Roman" w:cs="Times New Roman"/>
          <w:b/>
          <w:sz w:val="28"/>
          <w:szCs w:val="28"/>
        </w:rPr>
        <w:t xml:space="preserve">19 августа </w:t>
      </w:r>
      <w:r w:rsidR="00C63F0A" w:rsidRPr="0080033D">
        <w:rPr>
          <w:rFonts w:ascii="Times New Roman" w:eastAsia="Calibri" w:hAnsi="Times New Roman" w:cs="Times New Roman"/>
          <w:sz w:val="28"/>
          <w:szCs w:val="28"/>
        </w:rPr>
        <w:t>п</w:t>
      </w:r>
      <w:r w:rsidRPr="0080033D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</w:t>
      </w:r>
      <w:r w:rsidR="00C63F0A" w:rsidRPr="0080033D">
        <w:rPr>
          <w:rFonts w:ascii="Times New Roman" w:eastAsia="Calibri" w:hAnsi="Times New Roman" w:cs="Times New Roman"/>
          <w:sz w:val="28"/>
          <w:szCs w:val="28"/>
        </w:rPr>
        <w:t xml:space="preserve">РФ </w:t>
      </w:r>
      <w:r w:rsidRPr="0080033D">
        <w:rPr>
          <w:rFonts w:ascii="Times New Roman" w:eastAsia="Calibri" w:hAnsi="Times New Roman" w:cs="Times New Roman"/>
          <w:sz w:val="28"/>
          <w:szCs w:val="28"/>
        </w:rPr>
        <w:t>№</w:t>
      </w:r>
      <w:r w:rsidR="00C63F0A" w:rsidRPr="00800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033D">
        <w:rPr>
          <w:rFonts w:ascii="Times New Roman" w:eastAsia="Calibri" w:hAnsi="Times New Roman" w:cs="Times New Roman"/>
          <w:sz w:val="28"/>
          <w:szCs w:val="28"/>
        </w:rPr>
        <w:t>819 установлено, что с 1 января 2018 года годовой объём закупок товаров, работ, услуг отдельными видами юридических лиц у субъектов малого и среднего предпринимательства по прямым договорам увеличен с 10 до 15%.</w:t>
      </w:r>
    </w:p>
    <w:p w:rsidR="00CD2F66" w:rsidRPr="0080033D" w:rsidRDefault="00CD2F66" w:rsidP="00CD2F6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3D">
        <w:rPr>
          <w:rFonts w:ascii="Times New Roman" w:eastAsia="Calibri" w:hAnsi="Times New Roman" w:cs="Times New Roman"/>
          <w:b/>
          <w:sz w:val="28"/>
          <w:szCs w:val="28"/>
        </w:rPr>
        <w:t>22 августа</w:t>
      </w:r>
      <w:r w:rsidRPr="00800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3F0A" w:rsidRPr="0080033D">
        <w:rPr>
          <w:rFonts w:ascii="Times New Roman" w:eastAsia="Calibri" w:hAnsi="Times New Roman" w:cs="Times New Roman"/>
          <w:sz w:val="28"/>
          <w:szCs w:val="28"/>
        </w:rPr>
        <w:t>п</w:t>
      </w:r>
      <w:r w:rsidRPr="0080033D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РФ №</w:t>
      </w:r>
      <w:r w:rsidR="00C63F0A" w:rsidRPr="00800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033D">
        <w:rPr>
          <w:rFonts w:ascii="Times New Roman" w:eastAsia="Calibri" w:hAnsi="Times New Roman" w:cs="Times New Roman"/>
          <w:sz w:val="28"/>
          <w:szCs w:val="28"/>
        </w:rPr>
        <w:t>835 утверждены Правила проведения обязательного общественного обсуждения закупок товаров, работ, услуг для государственных и муниципальных нужд исключительно в случае закупок с начальной (максимальной) ценой контракта свыше 1 млрд</w:t>
      </w:r>
      <w:r w:rsidR="00C63F0A" w:rsidRPr="0080033D">
        <w:rPr>
          <w:rFonts w:ascii="Times New Roman" w:eastAsia="Calibri" w:hAnsi="Times New Roman" w:cs="Times New Roman"/>
          <w:sz w:val="28"/>
          <w:szCs w:val="28"/>
        </w:rPr>
        <w:t>.</w:t>
      </w:r>
      <w:r w:rsidR="009A26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033D">
        <w:rPr>
          <w:rFonts w:ascii="Times New Roman" w:eastAsia="Calibri" w:hAnsi="Times New Roman" w:cs="Times New Roman"/>
          <w:sz w:val="28"/>
          <w:szCs w:val="28"/>
        </w:rPr>
        <w:t xml:space="preserve">рублей путём использования конкурентных способов определения поставщиков </w:t>
      </w:r>
      <w:r w:rsidR="009A26D8">
        <w:rPr>
          <w:rFonts w:ascii="Times New Roman" w:eastAsia="Calibri" w:hAnsi="Times New Roman" w:cs="Times New Roman"/>
          <w:sz w:val="28"/>
          <w:szCs w:val="28"/>
        </w:rPr>
        <w:t xml:space="preserve">(подрядчиков, исполнителей). Это </w:t>
      </w:r>
      <w:r w:rsidRPr="0080033D">
        <w:rPr>
          <w:rFonts w:ascii="Times New Roman" w:eastAsia="Calibri" w:hAnsi="Times New Roman" w:cs="Times New Roman"/>
          <w:sz w:val="28"/>
          <w:szCs w:val="28"/>
        </w:rPr>
        <w:t>позволит усилить общественный контроль за эффективностью расходования бюджетных средств при проведении закупок товаров, работ, услуг, будет способствовать снижению коррупционных рисков и других злоупотреблений в сфере закупок для государственных и муниципальных нужд.</w:t>
      </w:r>
    </w:p>
    <w:p w:rsidR="005101E5" w:rsidRDefault="005101E5" w:rsidP="00CD2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33D">
        <w:rPr>
          <w:rFonts w:ascii="Times New Roman" w:hAnsi="Times New Roman" w:cs="Times New Roman"/>
          <w:b/>
          <w:sz w:val="28"/>
          <w:szCs w:val="28"/>
        </w:rPr>
        <w:t>23 августа</w:t>
      </w:r>
      <w:r w:rsidRPr="0080033D">
        <w:rPr>
          <w:rFonts w:ascii="Times New Roman" w:hAnsi="Times New Roman" w:cs="Times New Roman"/>
          <w:sz w:val="28"/>
          <w:szCs w:val="28"/>
        </w:rPr>
        <w:t xml:space="preserve"> </w:t>
      </w:r>
      <w:r w:rsidR="009A26D8">
        <w:rPr>
          <w:rFonts w:ascii="Times New Roman" w:hAnsi="Times New Roman" w:cs="Times New Roman"/>
          <w:sz w:val="28"/>
          <w:szCs w:val="28"/>
        </w:rPr>
        <w:t xml:space="preserve">в Государственную Думу </w:t>
      </w:r>
      <w:r w:rsidRPr="0080033D">
        <w:rPr>
          <w:rFonts w:ascii="Times New Roman" w:hAnsi="Times New Roman" w:cs="Times New Roman"/>
          <w:sz w:val="28"/>
          <w:szCs w:val="28"/>
        </w:rPr>
        <w:t xml:space="preserve">внесен </w:t>
      </w:r>
      <w:r w:rsidR="0056669B" w:rsidRPr="0080033D">
        <w:rPr>
          <w:rFonts w:ascii="Times New Roman" w:hAnsi="Times New Roman" w:cs="Times New Roman"/>
          <w:sz w:val="28"/>
          <w:szCs w:val="28"/>
        </w:rPr>
        <w:t xml:space="preserve">правительственный </w:t>
      </w:r>
      <w:r w:rsidRPr="0080033D">
        <w:rPr>
          <w:rFonts w:ascii="Times New Roman" w:hAnsi="Times New Roman" w:cs="Times New Roman"/>
          <w:sz w:val="28"/>
          <w:szCs w:val="28"/>
        </w:rPr>
        <w:t xml:space="preserve">проект федерального закона № 1155546-6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устанавливающий обязанность заказчика оплатить поставленные товары, выполненные работы и услуги по государственным и муниципальным контрактам в срок, не превышающий 30 дней с даты подписания заказчиком документа о приемке, </w:t>
      </w:r>
      <w:r w:rsidRPr="009A26D8">
        <w:rPr>
          <w:rFonts w:ascii="Times New Roman" w:hAnsi="Times New Roman" w:cs="Times New Roman"/>
          <w:sz w:val="28"/>
          <w:szCs w:val="28"/>
        </w:rPr>
        <w:t xml:space="preserve">вне зависимости от организационной структуры и масштаба организации - исполнителя. </w:t>
      </w:r>
      <w:r w:rsidR="009A26D8">
        <w:rPr>
          <w:rFonts w:ascii="Times New Roman" w:hAnsi="Times New Roman" w:cs="Times New Roman"/>
          <w:sz w:val="28"/>
          <w:szCs w:val="28"/>
        </w:rPr>
        <w:t>Законопроект прорабатывается в системе ТПП РФ</w:t>
      </w:r>
    </w:p>
    <w:p w:rsidR="00BC3A1D" w:rsidRDefault="00BC3A1D" w:rsidP="00BC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A1D" w:rsidRPr="0080033D" w:rsidRDefault="00BC3A1D" w:rsidP="00CD2F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03A" w:rsidRPr="0080033D" w:rsidRDefault="00DB103A" w:rsidP="00C84C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8BD" w:rsidRPr="0080033D" w:rsidRDefault="00FF72C7" w:rsidP="00C84C6D">
      <w:pPr>
        <w:pBdr>
          <w:top w:val="single" w:sz="4" w:space="0" w:color="auto"/>
        </w:pBdr>
        <w:spacing w:after="0" w:line="2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033D">
        <w:rPr>
          <w:rFonts w:ascii="Times New Roman" w:eastAsia="Calibri" w:hAnsi="Times New Roman" w:cs="Times New Roman"/>
          <w:sz w:val="28"/>
          <w:szCs w:val="28"/>
        </w:rPr>
        <w:t>Д</w:t>
      </w:r>
      <w:r w:rsidR="00561731" w:rsidRPr="0080033D">
        <w:rPr>
          <w:rFonts w:ascii="Times New Roman" w:eastAsia="Calibri" w:hAnsi="Times New Roman" w:cs="Times New Roman"/>
          <w:sz w:val="28"/>
          <w:szCs w:val="28"/>
        </w:rPr>
        <w:t xml:space="preserve">епартамент </w:t>
      </w:r>
      <w:r w:rsidRPr="0080033D">
        <w:rPr>
          <w:rFonts w:ascii="Times New Roman" w:eastAsia="Calibri" w:hAnsi="Times New Roman" w:cs="Times New Roman"/>
          <w:sz w:val="28"/>
          <w:szCs w:val="28"/>
        </w:rPr>
        <w:t xml:space="preserve">законотворческой деятельности </w:t>
      </w:r>
      <w:r w:rsidR="00561731" w:rsidRPr="0080033D">
        <w:rPr>
          <w:rFonts w:ascii="Times New Roman" w:eastAsia="Calibri" w:hAnsi="Times New Roman" w:cs="Times New Roman"/>
          <w:sz w:val="28"/>
          <w:szCs w:val="28"/>
        </w:rPr>
        <w:t>ТПП России</w:t>
      </w:r>
    </w:p>
    <w:p w:rsidR="003943D6" w:rsidRPr="00003F3C" w:rsidRDefault="00FF72C7" w:rsidP="00C84C6D">
      <w:pPr>
        <w:pBdr>
          <w:top w:val="single" w:sz="4" w:space="0" w:color="auto"/>
        </w:pBdr>
        <w:spacing w:after="0" w:line="2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033D">
        <w:rPr>
          <w:rFonts w:ascii="Times New Roman" w:eastAsia="Calibri" w:hAnsi="Times New Roman" w:cs="Times New Roman"/>
          <w:sz w:val="28"/>
          <w:szCs w:val="28"/>
        </w:rPr>
        <w:t>(т</w:t>
      </w:r>
      <w:r w:rsidR="002D67A7" w:rsidRPr="0080033D">
        <w:rPr>
          <w:rFonts w:ascii="Times New Roman" w:eastAsia="Calibri" w:hAnsi="Times New Roman" w:cs="Times New Roman"/>
          <w:sz w:val="28"/>
          <w:szCs w:val="28"/>
        </w:rPr>
        <w:t>ел</w:t>
      </w:r>
      <w:r w:rsidRPr="0080033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14829" w:rsidRPr="0080033D">
        <w:rPr>
          <w:rFonts w:ascii="Times New Roman" w:eastAsia="Calibri" w:hAnsi="Times New Roman" w:cs="Times New Roman"/>
          <w:sz w:val="28"/>
          <w:szCs w:val="28"/>
        </w:rPr>
        <w:t>8 </w:t>
      </w:r>
      <w:r w:rsidR="00B0361B" w:rsidRPr="0080033D">
        <w:rPr>
          <w:rFonts w:ascii="Times New Roman" w:eastAsia="Calibri" w:hAnsi="Times New Roman" w:cs="Times New Roman"/>
          <w:sz w:val="28"/>
          <w:szCs w:val="28"/>
        </w:rPr>
        <w:t>495</w:t>
      </w:r>
      <w:r w:rsidR="00714829" w:rsidRPr="0080033D">
        <w:rPr>
          <w:rFonts w:ascii="Times New Roman" w:eastAsia="Calibri" w:hAnsi="Times New Roman" w:cs="Times New Roman"/>
          <w:sz w:val="28"/>
          <w:szCs w:val="28"/>
        </w:rPr>
        <w:t xml:space="preserve"> 620-03</w:t>
      </w:r>
      <w:r w:rsidR="00B0361B" w:rsidRPr="0080033D">
        <w:rPr>
          <w:rFonts w:ascii="Times New Roman" w:eastAsia="Calibri" w:hAnsi="Times New Roman" w:cs="Times New Roman"/>
          <w:sz w:val="28"/>
          <w:szCs w:val="28"/>
        </w:rPr>
        <w:t>-</w:t>
      </w:r>
      <w:r w:rsidR="00714829" w:rsidRPr="0080033D">
        <w:rPr>
          <w:rFonts w:ascii="Times New Roman" w:eastAsia="Calibri" w:hAnsi="Times New Roman" w:cs="Times New Roman"/>
          <w:sz w:val="28"/>
          <w:szCs w:val="28"/>
        </w:rPr>
        <w:t>92</w:t>
      </w:r>
      <w:r w:rsidR="003943D6" w:rsidRPr="0080033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hyperlink r:id="rId9" w:history="1">
        <w:r w:rsidR="003943D6" w:rsidRPr="0080033D">
          <w:rPr>
            <w:rStyle w:val="a7"/>
            <w:rFonts w:ascii="Times New Roman" w:eastAsia="Calibri" w:hAnsi="Times New Roman" w:cs="Times New Roman"/>
            <w:sz w:val="28"/>
            <w:szCs w:val="28"/>
          </w:rPr>
          <w:t>proekt@tpprf.ru</w:t>
        </w:r>
      </w:hyperlink>
      <w:r w:rsidR="003943D6" w:rsidRPr="0080033D">
        <w:rPr>
          <w:rFonts w:ascii="Times New Roman" w:eastAsia="Calibri" w:hAnsi="Times New Roman" w:cs="Times New Roman"/>
          <w:sz w:val="28"/>
          <w:szCs w:val="28"/>
        </w:rPr>
        <w:t>)</w:t>
      </w:r>
    </w:p>
    <w:sectPr w:rsidR="003943D6" w:rsidRPr="00003F3C" w:rsidSect="00751E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33" w:rsidRDefault="00C12533" w:rsidP="003C1941">
      <w:pPr>
        <w:spacing w:after="0" w:line="240" w:lineRule="auto"/>
      </w:pPr>
      <w:r>
        <w:separator/>
      </w:r>
    </w:p>
  </w:endnote>
  <w:endnote w:type="continuationSeparator" w:id="0">
    <w:p w:rsidR="00C12533" w:rsidRDefault="00C12533" w:rsidP="003C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1D" w:rsidRDefault="00BC3A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1D" w:rsidRDefault="00BC3A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1D" w:rsidRDefault="00BC3A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33" w:rsidRDefault="00C12533" w:rsidP="003C1941">
      <w:pPr>
        <w:spacing w:after="0" w:line="240" w:lineRule="auto"/>
      </w:pPr>
      <w:r>
        <w:separator/>
      </w:r>
    </w:p>
  </w:footnote>
  <w:footnote w:type="continuationSeparator" w:id="0">
    <w:p w:rsidR="00C12533" w:rsidRDefault="00C12533" w:rsidP="003C1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1D" w:rsidRDefault="00BC3A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091831"/>
      <w:docPartObj>
        <w:docPartGallery w:val="Page Numbers (Top of Page)"/>
        <w:docPartUnique/>
      </w:docPartObj>
    </w:sdtPr>
    <w:sdtEndPr/>
    <w:sdtContent>
      <w:p w:rsidR="003C1941" w:rsidRDefault="003C19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C5D">
          <w:rPr>
            <w:noProof/>
          </w:rPr>
          <w:t>10</w:t>
        </w:r>
        <w:r>
          <w:fldChar w:fldCharType="end"/>
        </w:r>
      </w:p>
    </w:sdtContent>
  </w:sdt>
  <w:p w:rsidR="003C1941" w:rsidRDefault="003C19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1D" w:rsidRDefault="00BC3A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310E"/>
    <w:multiLevelType w:val="hybridMultilevel"/>
    <w:tmpl w:val="70561CF6"/>
    <w:lvl w:ilvl="0" w:tplc="F2FA293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DBC6826"/>
    <w:multiLevelType w:val="hybridMultilevel"/>
    <w:tmpl w:val="95B83DBC"/>
    <w:lvl w:ilvl="0" w:tplc="9DCC284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2570FE9"/>
    <w:multiLevelType w:val="hybridMultilevel"/>
    <w:tmpl w:val="2AA0B3BC"/>
    <w:lvl w:ilvl="0" w:tplc="F2FA293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460B8"/>
    <w:multiLevelType w:val="hybridMultilevel"/>
    <w:tmpl w:val="F0208E64"/>
    <w:lvl w:ilvl="0" w:tplc="0419000F">
      <w:start w:val="1"/>
      <w:numFmt w:val="decimal"/>
      <w:lvlText w:val="%1.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A6DC2"/>
    <w:multiLevelType w:val="multilevel"/>
    <w:tmpl w:val="A35C967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>
    <w:nsid w:val="67DA53E8"/>
    <w:multiLevelType w:val="hybridMultilevel"/>
    <w:tmpl w:val="5598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B7E8E"/>
    <w:multiLevelType w:val="hybridMultilevel"/>
    <w:tmpl w:val="B53E7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75"/>
    <w:rsid w:val="00001692"/>
    <w:rsid w:val="00003F3C"/>
    <w:rsid w:val="00004835"/>
    <w:rsid w:val="000061B7"/>
    <w:rsid w:val="00007708"/>
    <w:rsid w:val="000225DF"/>
    <w:rsid w:val="00022BDB"/>
    <w:rsid w:val="00026F8A"/>
    <w:rsid w:val="00030C14"/>
    <w:rsid w:val="00036E40"/>
    <w:rsid w:val="00045CD7"/>
    <w:rsid w:val="0004778D"/>
    <w:rsid w:val="00052CF5"/>
    <w:rsid w:val="0005300A"/>
    <w:rsid w:val="00055051"/>
    <w:rsid w:val="00063909"/>
    <w:rsid w:val="00064D00"/>
    <w:rsid w:val="00066D94"/>
    <w:rsid w:val="00077BEC"/>
    <w:rsid w:val="00081792"/>
    <w:rsid w:val="00085C5D"/>
    <w:rsid w:val="0008745A"/>
    <w:rsid w:val="00097371"/>
    <w:rsid w:val="000977E0"/>
    <w:rsid w:val="000A06ED"/>
    <w:rsid w:val="000B154D"/>
    <w:rsid w:val="000B18B0"/>
    <w:rsid w:val="000B3815"/>
    <w:rsid w:val="000C016A"/>
    <w:rsid w:val="000C1C41"/>
    <w:rsid w:val="000C35D4"/>
    <w:rsid w:val="000C3F33"/>
    <w:rsid w:val="000D058D"/>
    <w:rsid w:val="000D1F06"/>
    <w:rsid w:val="000D33A7"/>
    <w:rsid w:val="000D71B0"/>
    <w:rsid w:val="000E7BF0"/>
    <w:rsid w:val="000F1236"/>
    <w:rsid w:val="000F4309"/>
    <w:rsid w:val="0010244C"/>
    <w:rsid w:val="00106FDA"/>
    <w:rsid w:val="00111C7E"/>
    <w:rsid w:val="00112162"/>
    <w:rsid w:val="001223D0"/>
    <w:rsid w:val="001248BD"/>
    <w:rsid w:val="00131073"/>
    <w:rsid w:val="0015169E"/>
    <w:rsid w:val="00152DD0"/>
    <w:rsid w:val="00165562"/>
    <w:rsid w:val="00172DCF"/>
    <w:rsid w:val="00175FF9"/>
    <w:rsid w:val="00176C35"/>
    <w:rsid w:val="00180649"/>
    <w:rsid w:val="00181861"/>
    <w:rsid w:val="00184FA7"/>
    <w:rsid w:val="001A04EB"/>
    <w:rsid w:val="001A6DD6"/>
    <w:rsid w:val="001B1E95"/>
    <w:rsid w:val="001B5B93"/>
    <w:rsid w:val="001B69B8"/>
    <w:rsid w:val="001C788A"/>
    <w:rsid w:val="001D171D"/>
    <w:rsid w:val="001F2FF9"/>
    <w:rsid w:val="00202223"/>
    <w:rsid w:val="002128AE"/>
    <w:rsid w:val="00222C85"/>
    <w:rsid w:val="00232ED7"/>
    <w:rsid w:val="00235102"/>
    <w:rsid w:val="00235D60"/>
    <w:rsid w:val="00241332"/>
    <w:rsid w:val="00241CFA"/>
    <w:rsid w:val="00244259"/>
    <w:rsid w:val="00255148"/>
    <w:rsid w:val="002674A3"/>
    <w:rsid w:val="0027567C"/>
    <w:rsid w:val="00282C75"/>
    <w:rsid w:val="00286FB7"/>
    <w:rsid w:val="0028722F"/>
    <w:rsid w:val="002A2722"/>
    <w:rsid w:val="002A2BC9"/>
    <w:rsid w:val="002A33AD"/>
    <w:rsid w:val="002A4C9A"/>
    <w:rsid w:val="002A5D25"/>
    <w:rsid w:val="002C2CAD"/>
    <w:rsid w:val="002C6693"/>
    <w:rsid w:val="002D0DAB"/>
    <w:rsid w:val="002D67A7"/>
    <w:rsid w:val="002F595D"/>
    <w:rsid w:val="002F75B4"/>
    <w:rsid w:val="002F7857"/>
    <w:rsid w:val="002F7C72"/>
    <w:rsid w:val="00304848"/>
    <w:rsid w:val="00305E32"/>
    <w:rsid w:val="0031047B"/>
    <w:rsid w:val="0031336B"/>
    <w:rsid w:val="003154E5"/>
    <w:rsid w:val="003214DC"/>
    <w:rsid w:val="0032566B"/>
    <w:rsid w:val="00327C8F"/>
    <w:rsid w:val="00340A42"/>
    <w:rsid w:val="003423BA"/>
    <w:rsid w:val="00342CCD"/>
    <w:rsid w:val="00344F9F"/>
    <w:rsid w:val="00351328"/>
    <w:rsid w:val="00353225"/>
    <w:rsid w:val="00363177"/>
    <w:rsid w:val="0037465F"/>
    <w:rsid w:val="00380533"/>
    <w:rsid w:val="00391157"/>
    <w:rsid w:val="003943D6"/>
    <w:rsid w:val="003A452A"/>
    <w:rsid w:val="003A601E"/>
    <w:rsid w:val="003B3806"/>
    <w:rsid w:val="003B3D84"/>
    <w:rsid w:val="003B6F87"/>
    <w:rsid w:val="003C017A"/>
    <w:rsid w:val="003C1941"/>
    <w:rsid w:val="003C1A65"/>
    <w:rsid w:val="003C72E0"/>
    <w:rsid w:val="003D0889"/>
    <w:rsid w:val="003D4799"/>
    <w:rsid w:val="003D4E3D"/>
    <w:rsid w:val="003E37B3"/>
    <w:rsid w:val="003E4434"/>
    <w:rsid w:val="003F4A57"/>
    <w:rsid w:val="00404325"/>
    <w:rsid w:val="004142AE"/>
    <w:rsid w:val="00415A6D"/>
    <w:rsid w:val="00424D8E"/>
    <w:rsid w:val="00427AB9"/>
    <w:rsid w:val="00437D55"/>
    <w:rsid w:val="00440DE2"/>
    <w:rsid w:val="00443324"/>
    <w:rsid w:val="00445F56"/>
    <w:rsid w:val="00454DD8"/>
    <w:rsid w:val="004563A6"/>
    <w:rsid w:val="00457A1B"/>
    <w:rsid w:val="0047317B"/>
    <w:rsid w:val="00486FE0"/>
    <w:rsid w:val="004936AD"/>
    <w:rsid w:val="004A23AD"/>
    <w:rsid w:val="004A4870"/>
    <w:rsid w:val="004B2FCC"/>
    <w:rsid w:val="004C73DD"/>
    <w:rsid w:val="004D34D1"/>
    <w:rsid w:val="004D5A29"/>
    <w:rsid w:val="004F0CFF"/>
    <w:rsid w:val="004F2809"/>
    <w:rsid w:val="004F3779"/>
    <w:rsid w:val="004F5189"/>
    <w:rsid w:val="005021AB"/>
    <w:rsid w:val="005029A9"/>
    <w:rsid w:val="005101E5"/>
    <w:rsid w:val="005113F8"/>
    <w:rsid w:val="00511A23"/>
    <w:rsid w:val="00524C8D"/>
    <w:rsid w:val="00525488"/>
    <w:rsid w:val="0053306F"/>
    <w:rsid w:val="005449E3"/>
    <w:rsid w:val="00551436"/>
    <w:rsid w:val="00552D2B"/>
    <w:rsid w:val="00555A07"/>
    <w:rsid w:val="00555D64"/>
    <w:rsid w:val="00560671"/>
    <w:rsid w:val="00560F77"/>
    <w:rsid w:val="00561731"/>
    <w:rsid w:val="0056669B"/>
    <w:rsid w:val="005703A2"/>
    <w:rsid w:val="00571472"/>
    <w:rsid w:val="005727FE"/>
    <w:rsid w:val="00575A6E"/>
    <w:rsid w:val="005778E3"/>
    <w:rsid w:val="0058381D"/>
    <w:rsid w:val="00586A20"/>
    <w:rsid w:val="0058766C"/>
    <w:rsid w:val="00591E14"/>
    <w:rsid w:val="00592B52"/>
    <w:rsid w:val="00593963"/>
    <w:rsid w:val="005B22B3"/>
    <w:rsid w:val="005B388E"/>
    <w:rsid w:val="005C5440"/>
    <w:rsid w:val="005C5F46"/>
    <w:rsid w:val="005C6D90"/>
    <w:rsid w:val="005C6E61"/>
    <w:rsid w:val="005D3642"/>
    <w:rsid w:val="005D46C7"/>
    <w:rsid w:val="005E00C8"/>
    <w:rsid w:val="005E1621"/>
    <w:rsid w:val="005F079B"/>
    <w:rsid w:val="005F3E7B"/>
    <w:rsid w:val="00601172"/>
    <w:rsid w:val="006022FF"/>
    <w:rsid w:val="00606412"/>
    <w:rsid w:val="00607472"/>
    <w:rsid w:val="00610A84"/>
    <w:rsid w:val="00610EAB"/>
    <w:rsid w:val="006153D8"/>
    <w:rsid w:val="00624513"/>
    <w:rsid w:val="006336BE"/>
    <w:rsid w:val="0064088E"/>
    <w:rsid w:val="00642C9C"/>
    <w:rsid w:val="0066464E"/>
    <w:rsid w:val="00664B2A"/>
    <w:rsid w:val="00666B86"/>
    <w:rsid w:val="00672099"/>
    <w:rsid w:val="0068345E"/>
    <w:rsid w:val="00683D46"/>
    <w:rsid w:val="00693CFF"/>
    <w:rsid w:val="006B20AF"/>
    <w:rsid w:val="006C2265"/>
    <w:rsid w:val="006C73B4"/>
    <w:rsid w:val="006D2491"/>
    <w:rsid w:val="006D4BD6"/>
    <w:rsid w:val="006E1CCC"/>
    <w:rsid w:val="006E7823"/>
    <w:rsid w:val="006F0983"/>
    <w:rsid w:val="006F1FFC"/>
    <w:rsid w:val="006F25FD"/>
    <w:rsid w:val="006F3725"/>
    <w:rsid w:val="00714829"/>
    <w:rsid w:val="00714E91"/>
    <w:rsid w:val="00717468"/>
    <w:rsid w:val="00724815"/>
    <w:rsid w:val="00735B3B"/>
    <w:rsid w:val="00742361"/>
    <w:rsid w:val="00745DAD"/>
    <w:rsid w:val="007503D3"/>
    <w:rsid w:val="00751E5F"/>
    <w:rsid w:val="0075412A"/>
    <w:rsid w:val="00761D97"/>
    <w:rsid w:val="007669AC"/>
    <w:rsid w:val="007677E7"/>
    <w:rsid w:val="0078250F"/>
    <w:rsid w:val="00791C5F"/>
    <w:rsid w:val="00793960"/>
    <w:rsid w:val="00797E6E"/>
    <w:rsid w:val="007B2405"/>
    <w:rsid w:val="007B2E40"/>
    <w:rsid w:val="007B50BA"/>
    <w:rsid w:val="007C688B"/>
    <w:rsid w:val="007E32BE"/>
    <w:rsid w:val="007E7168"/>
    <w:rsid w:val="007F74A1"/>
    <w:rsid w:val="0080033D"/>
    <w:rsid w:val="00800E1D"/>
    <w:rsid w:val="00806D2D"/>
    <w:rsid w:val="008168F5"/>
    <w:rsid w:val="0082246C"/>
    <w:rsid w:val="0082365A"/>
    <w:rsid w:val="00825A1C"/>
    <w:rsid w:val="00832918"/>
    <w:rsid w:val="00854B09"/>
    <w:rsid w:val="0087012B"/>
    <w:rsid w:val="00871792"/>
    <w:rsid w:val="00882356"/>
    <w:rsid w:val="00882823"/>
    <w:rsid w:val="00890CA5"/>
    <w:rsid w:val="00893B62"/>
    <w:rsid w:val="008957D9"/>
    <w:rsid w:val="008A1AE0"/>
    <w:rsid w:val="008A2DF7"/>
    <w:rsid w:val="008A39DC"/>
    <w:rsid w:val="008A5BC9"/>
    <w:rsid w:val="008A6054"/>
    <w:rsid w:val="008B275A"/>
    <w:rsid w:val="008C0288"/>
    <w:rsid w:val="008C6BA0"/>
    <w:rsid w:val="008C7786"/>
    <w:rsid w:val="008D345D"/>
    <w:rsid w:val="008E2608"/>
    <w:rsid w:val="008E5044"/>
    <w:rsid w:val="008F03BA"/>
    <w:rsid w:val="008F3330"/>
    <w:rsid w:val="00902D82"/>
    <w:rsid w:val="00912CF6"/>
    <w:rsid w:val="0091432B"/>
    <w:rsid w:val="00923C9D"/>
    <w:rsid w:val="00926138"/>
    <w:rsid w:val="0093224B"/>
    <w:rsid w:val="00933F9C"/>
    <w:rsid w:val="00934F34"/>
    <w:rsid w:val="009363B2"/>
    <w:rsid w:val="00943BB4"/>
    <w:rsid w:val="00945A0B"/>
    <w:rsid w:val="0094682A"/>
    <w:rsid w:val="00961D25"/>
    <w:rsid w:val="00962DF5"/>
    <w:rsid w:val="00966466"/>
    <w:rsid w:val="009679C1"/>
    <w:rsid w:val="009817BD"/>
    <w:rsid w:val="00982397"/>
    <w:rsid w:val="00986053"/>
    <w:rsid w:val="00991EEA"/>
    <w:rsid w:val="00996664"/>
    <w:rsid w:val="009967FC"/>
    <w:rsid w:val="009968CC"/>
    <w:rsid w:val="009A26D8"/>
    <w:rsid w:val="009A42B8"/>
    <w:rsid w:val="009B0DFE"/>
    <w:rsid w:val="009C2F78"/>
    <w:rsid w:val="009C3800"/>
    <w:rsid w:val="009C7145"/>
    <w:rsid w:val="009D2BF4"/>
    <w:rsid w:val="009D6247"/>
    <w:rsid w:val="009F30CF"/>
    <w:rsid w:val="009F5F53"/>
    <w:rsid w:val="00A077D9"/>
    <w:rsid w:val="00A07F87"/>
    <w:rsid w:val="00A1026C"/>
    <w:rsid w:val="00A132F2"/>
    <w:rsid w:val="00A146D1"/>
    <w:rsid w:val="00A24712"/>
    <w:rsid w:val="00A25092"/>
    <w:rsid w:val="00A32276"/>
    <w:rsid w:val="00A5020B"/>
    <w:rsid w:val="00A60F4F"/>
    <w:rsid w:val="00A71C30"/>
    <w:rsid w:val="00A76067"/>
    <w:rsid w:val="00A82F6B"/>
    <w:rsid w:val="00A9045E"/>
    <w:rsid w:val="00A90C7E"/>
    <w:rsid w:val="00A94EB7"/>
    <w:rsid w:val="00AA0A1A"/>
    <w:rsid w:val="00AA5FF6"/>
    <w:rsid w:val="00AA7A67"/>
    <w:rsid w:val="00AB69A5"/>
    <w:rsid w:val="00AC4963"/>
    <w:rsid w:val="00AC4C07"/>
    <w:rsid w:val="00AD3779"/>
    <w:rsid w:val="00B011F5"/>
    <w:rsid w:val="00B02735"/>
    <w:rsid w:val="00B0361B"/>
    <w:rsid w:val="00B052F6"/>
    <w:rsid w:val="00B053B7"/>
    <w:rsid w:val="00B10876"/>
    <w:rsid w:val="00B277FA"/>
    <w:rsid w:val="00B353EB"/>
    <w:rsid w:val="00B35438"/>
    <w:rsid w:val="00B37866"/>
    <w:rsid w:val="00B42B4C"/>
    <w:rsid w:val="00B43DFD"/>
    <w:rsid w:val="00B521A0"/>
    <w:rsid w:val="00B54CF9"/>
    <w:rsid w:val="00B62138"/>
    <w:rsid w:val="00B62158"/>
    <w:rsid w:val="00B6279D"/>
    <w:rsid w:val="00B63334"/>
    <w:rsid w:val="00B7269B"/>
    <w:rsid w:val="00B72DFF"/>
    <w:rsid w:val="00B75283"/>
    <w:rsid w:val="00B76462"/>
    <w:rsid w:val="00B80F0B"/>
    <w:rsid w:val="00B85821"/>
    <w:rsid w:val="00BB1BAF"/>
    <w:rsid w:val="00BB21E4"/>
    <w:rsid w:val="00BB3AF9"/>
    <w:rsid w:val="00BB78AF"/>
    <w:rsid w:val="00BC3A1D"/>
    <w:rsid w:val="00BD71E3"/>
    <w:rsid w:val="00BE5CB2"/>
    <w:rsid w:val="00C0008D"/>
    <w:rsid w:val="00C0593E"/>
    <w:rsid w:val="00C12533"/>
    <w:rsid w:val="00C12F96"/>
    <w:rsid w:val="00C24512"/>
    <w:rsid w:val="00C300BD"/>
    <w:rsid w:val="00C31A97"/>
    <w:rsid w:val="00C3611A"/>
    <w:rsid w:val="00C41271"/>
    <w:rsid w:val="00C475B8"/>
    <w:rsid w:val="00C63F0A"/>
    <w:rsid w:val="00C67D56"/>
    <w:rsid w:val="00C74844"/>
    <w:rsid w:val="00C75627"/>
    <w:rsid w:val="00C76835"/>
    <w:rsid w:val="00C819D5"/>
    <w:rsid w:val="00C82F76"/>
    <w:rsid w:val="00C84AA7"/>
    <w:rsid w:val="00C84C6D"/>
    <w:rsid w:val="00C93672"/>
    <w:rsid w:val="00CC1BDE"/>
    <w:rsid w:val="00CC4983"/>
    <w:rsid w:val="00CC7E8F"/>
    <w:rsid w:val="00CD2BE2"/>
    <w:rsid w:val="00CD2F66"/>
    <w:rsid w:val="00CE1B7E"/>
    <w:rsid w:val="00D0645E"/>
    <w:rsid w:val="00D25C10"/>
    <w:rsid w:val="00D35896"/>
    <w:rsid w:val="00D44230"/>
    <w:rsid w:val="00D51172"/>
    <w:rsid w:val="00D61A9C"/>
    <w:rsid w:val="00D64F64"/>
    <w:rsid w:val="00D83855"/>
    <w:rsid w:val="00D866F2"/>
    <w:rsid w:val="00DA6399"/>
    <w:rsid w:val="00DB103A"/>
    <w:rsid w:val="00DC1393"/>
    <w:rsid w:val="00DC5036"/>
    <w:rsid w:val="00DE1E8D"/>
    <w:rsid w:val="00DE1EDD"/>
    <w:rsid w:val="00DF24F3"/>
    <w:rsid w:val="00DF62AA"/>
    <w:rsid w:val="00E00AEA"/>
    <w:rsid w:val="00E01698"/>
    <w:rsid w:val="00E13091"/>
    <w:rsid w:val="00E137B5"/>
    <w:rsid w:val="00E14B0E"/>
    <w:rsid w:val="00E17485"/>
    <w:rsid w:val="00E23661"/>
    <w:rsid w:val="00E23962"/>
    <w:rsid w:val="00E42D9A"/>
    <w:rsid w:val="00E42E62"/>
    <w:rsid w:val="00E46EC6"/>
    <w:rsid w:val="00E56534"/>
    <w:rsid w:val="00E62231"/>
    <w:rsid w:val="00E66A64"/>
    <w:rsid w:val="00E66DC1"/>
    <w:rsid w:val="00E66EA1"/>
    <w:rsid w:val="00E711C5"/>
    <w:rsid w:val="00E8204C"/>
    <w:rsid w:val="00E84A4D"/>
    <w:rsid w:val="00E863AF"/>
    <w:rsid w:val="00E8693D"/>
    <w:rsid w:val="00E9488A"/>
    <w:rsid w:val="00E97D2C"/>
    <w:rsid w:val="00EA6593"/>
    <w:rsid w:val="00EA6DC8"/>
    <w:rsid w:val="00EB3E9C"/>
    <w:rsid w:val="00EC1748"/>
    <w:rsid w:val="00EC44F9"/>
    <w:rsid w:val="00EC5B86"/>
    <w:rsid w:val="00ED43EC"/>
    <w:rsid w:val="00ED4F95"/>
    <w:rsid w:val="00EE2E5D"/>
    <w:rsid w:val="00F01228"/>
    <w:rsid w:val="00F03BD1"/>
    <w:rsid w:val="00F067EF"/>
    <w:rsid w:val="00F0682F"/>
    <w:rsid w:val="00F10402"/>
    <w:rsid w:val="00F2046A"/>
    <w:rsid w:val="00F23619"/>
    <w:rsid w:val="00F252AF"/>
    <w:rsid w:val="00F27A03"/>
    <w:rsid w:val="00F3026C"/>
    <w:rsid w:val="00F309D8"/>
    <w:rsid w:val="00F323B7"/>
    <w:rsid w:val="00F33B56"/>
    <w:rsid w:val="00F4157B"/>
    <w:rsid w:val="00F47251"/>
    <w:rsid w:val="00F54FF6"/>
    <w:rsid w:val="00F554E3"/>
    <w:rsid w:val="00F60E4A"/>
    <w:rsid w:val="00F63CE2"/>
    <w:rsid w:val="00F87E29"/>
    <w:rsid w:val="00F908B6"/>
    <w:rsid w:val="00F93529"/>
    <w:rsid w:val="00FA0785"/>
    <w:rsid w:val="00FA11D8"/>
    <w:rsid w:val="00FA3B99"/>
    <w:rsid w:val="00FB7223"/>
    <w:rsid w:val="00FC638E"/>
    <w:rsid w:val="00FD08BD"/>
    <w:rsid w:val="00FE17F9"/>
    <w:rsid w:val="00FF24A9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941"/>
  </w:style>
  <w:style w:type="paragraph" w:styleId="a5">
    <w:name w:val="footer"/>
    <w:basedOn w:val="a"/>
    <w:link w:val="a6"/>
    <w:uiPriority w:val="99"/>
    <w:unhideWhenUsed/>
    <w:rsid w:val="003C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941"/>
  </w:style>
  <w:style w:type="character" w:styleId="a7">
    <w:name w:val="Hyperlink"/>
    <w:basedOn w:val="a0"/>
    <w:uiPriority w:val="99"/>
    <w:unhideWhenUsed/>
    <w:rsid w:val="003C1941"/>
    <w:rPr>
      <w:color w:val="0857A6"/>
      <w:u w:val="single"/>
    </w:rPr>
  </w:style>
  <w:style w:type="paragraph" w:styleId="a8">
    <w:name w:val="Normal (Web)"/>
    <w:basedOn w:val="a"/>
    <w:uiPriority w:val="99"/>
    <w:unhideWhenUsed/>
    <w:rsid w:val="00F0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A39DC"/>
    <w:pPr>
      <w:ind w:left="720"/>
      <w:contextualSpacing/>
    </w:pPr>
  </w:style>
  <w:style w:type="character" w:styleId="aa">
    <w:name w:val="Strong"/>
    <w:uiPriority w:val="22"/>
    <w:qFormat/>
    <w:rsid w:val="004F0CF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3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0C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4983"/>
  </w:style>
  <w:style w:type="character" w:styleId="ad">
    <w:name w:val="footnote reference"/>
    <w:basedOn w:val="a0"/>
    <w:uiPriority w:val="99"/>
    <w:semiHidden/>
    <w:unhideWhenUsed/>
    <w:rsid w:val="00B108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941"/>
  </w:style>
  <w:style w:type="paragraph" w:styleId="a5">
    <w:name w:val="footer"/>
    <w:basedOn w:val="a"/>
    <w:link w:val="a6"/>
    <w:uiPriority w:val="99"/>
    <w:unhideWhenUsed/>
    <w:rsid w:val="003C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941"/>
  </w:style>
  <w:style w:type="character" w:styleId="a7">
    <w:name w:val="Hyperlink"/>
    <w:basedOn w:val="a0"/>
    <w:uiPriority w:val="99"/>
    <w:unhideWhenUsed/>
    <w:rsid w:val="003C1941"/>
    <w:rPr>
      <w:color w:val="0857A6"/>
      <w:u w:val="single"/>
    </w:rPr>
  </w:style>
  <w:style w:type="paragraph" w:styleId="a8">
    <w:name w:val="Normal (Web)"/>
    <w:basedOn w:val="a"/>
    <w:uiPriority w:val="99"/>
    <w:unhideWhenUsed/>
    <w:rsid w:val="00F0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A39DC"/>
    <w:pPr>
      <w:ind w:left="720"/>
      <w:contextualSpacing/>
    </w:pPr>
  </w:style>
  <w:style w:type="character" w:styleId="aa">
    <w:name w:val="Strong"/>
    <w:uiPriority w:val="22"/>
    <w:qFormat/>
    <w:rsid w:val="004F0CF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3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0C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4983"/>
  </w:style>
  <w:style w:type="character" w:styleId="ad">
    <w:name w:val="footnote reference"/>
    <w:basedOn w:val="a0"/>
    <w:uiPriority w:val="99"/>
    <w:semiHidden/>
    <w:unhideWhenUsed/>
    <w:rsid w:val="00B10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ekt@tpprf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E071-C01A-45EB-9E6D-210492D1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10</Pages>
  <Words>3901</Words>
  <Characters>22240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О.В. (049)</dc:creator>
  <cp:lastModifiedBy>Гаврилюк О.В. (049)</cp:lastModifiedBy>
  <cp:revision>167</cp:revision>
  <cp:lastPrinted>2016-09-02T08:29:00Z</cp:lastPrinted>
  <dcterms:created xsi:type="dcterms:W3CDTF">2016-05-10T14:19:00Z</dcterms:created>
  <dcterms:modified xsi:type="dcterms:W3CDTF">2016-09-06T06:44:00Z</dcterms:modified>
</cp:coreProperties>
</file>